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outlineLvl w:val="0"/>
        <w:rPr>
          <w:rFonts w:hint="eastAsia" w:ascii="宋体" w:hAnsi="宋体" w:eastAsia="宋体" w:cs="宋体"/>
          <w:b/>
          <w:bCs/>
          <w:color w:val="auto"/>
          <w:sz w:val="52"/>
          <w:szCs w:val="52"/>
          <w:lang w:val="en-US" w:eastAsia="zh-CN"/>
        </w:rPr>
      </w:pPr>
      <w:bookmarkStart w:id="0" w:name="_Toc16684"/>
      <w:bookmarkStart w:id="1" w:name="_Toc22603"/>
      <w:r>
        <w:rPr>
          <w:rFonts w:hint="eastAsia" w:ascii="宋体" w:hAnsi="宋体" w:eastAsia="宋体" w:cs="宋体"/>
          <w:b/>
          <w:bCs/>
          <w:color w:val="auto"/>
          <w:sz w:val="52"/>
          <w:szCs w:val="52"/>
          <w:lang w:val="en-US" w:eastAsia="zh-CN"/>
        </w:rPr>
        <w:t>中环建（北京）工程管理有限公司</w:t>
      </w:r>
      <w:bookmarkEnd w:id="0"/>
      <w:bookmarkEnd w:id="1"/>
    </w:p>
    <w:p>
      <w:pPr>
        <w:pStyle w:val="20"/>
        <w:ind w:left="0" w:leftChars="0" w:firstLine="0" w:firstLineChars="0"/>
        <w:rPr>
          <w:rFonts w:hint="eastAsia" w:ascii="宋体" w:hAnsi="宋体" w:eastAsia="宋体" w:cs="宋体"/>
          <w:b/>
          <w:bCs/>
          <w:color w:val="auto"/>
          <w:sz w:val="44"/>
          <w:szCs w:val="44"/>
          <w:lang w:val="en-US" w:eastAsia="zh-CN"/>
        </w:rPr>
      </w:pPr>
    </w:p>
    <w:p>
      <w:pPr>
        <w:jc w:val="both"/>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112"/>
          <w:szCs w:val="112"/>
          <w:lang w:val="en-US" w:eastAsia="zh-CN"/>
        </w:rPr>
      </w:pPr>
      <w:r>
        <w:rPr>
          <w:rFonts w:hint="eastAsia" w:ascii="宋体" w:hAnsi="宋体" w:eastAsia="宋体" w:cs="宋体"/>
          <w:b/>
          <w:bCs/>
          <w:color w:val="auto"/>
          <w:sz w:val="72"/>
          <w:szCs w:val="72"/>
          <w:lang w:val="en-US" w:eastAsia="zh-CN"/>
        </w:rPr>
        <w:t>竞 争 性 磋 商 文 件</w:t>
      </w:r>
    </w:p>
    <w:p>
      <w:pPr>
        <w:jc w:val="center"/>
        <w:rPr>
          <w:rFonts w:hint="eastAsia" w:ascii="宋体" w:hAnsi="宋体" w:eastAsia="宋体" w:cs="宋体"/>
          <w:b w:val="0"/>
          <w:bCs w:val="0"/>
          <w:color w:val="auto"/>
          <w:sz w:val="24"/>
          <w:szCs w:val="24"/>
        </w:rPr>
      </w:pP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drawing>
          <wp:inline distT="0" distB="0" distL="114300" distR="114300">
            <wp:extent cx="2058670" cy="1939925"/>
            <wp:effectExtent l="0" t="0" r="17780" b="3175"/>
            <wp:docPr id="21" name="图片 1" descr="400432cbeec4d6bf761a87f73de0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400432cbeec4d6bf761a87f73de0a47"/>
                    <pic:cNvPicPr>
                      <a:picLocks noChangeAspect="1"/>
                    </pic:cNvPicPr>
                  </pic:nvPicPr>
                  <pic:blipFill>
                    <a:blip r:embed="rId9"/>
                    <a:stretch>
                      <a:fillRect/>
                    </a:stretch>
                  </pic:blipFill>
                  <pic:spPr>
                    <a:xfrm>
                      <a:off x="0" y="0"/>
                      <a:ext cx="2058670" cy="1939925"/>
                    </a:xfrm>
                    <a:prstGeom prst="rect">
                      <a:avLst/>
                    </a:prstGeom>
                    <a:noFill/>
                    <a:ln>
                      <a:noFill/>
                    </a:ln>
                  </pic:spPr>
                </pic:pic>
              </a:graphicData>
            </a:graphic>
          </wp:inline>
        </w:drawing>
      </w:r>
    </w:p>
    <w:p>
      <w:pPr>
        <w:rPr>
          <w:rFonts w:hint="eastAsia" w:ascii="宋体" w:hAnsi="宋体" w:eastAsia="宋体" w:cs="宋体"/>
          <w:b/>
          <w:bCs/>
          <w:color w:val="auto"/>
          <w:sz w:val="24"/>
          <w:szCs w:val="24"/>
          <w:lang w:val="en-US" w:eastAsia="zh-CN"/>
        </w:rPr>
      </w:pPr>
    </w:p>
    <w:p>
      <w:pPr>
        <w:spacing w:line="720" w:lineRule="auto"/>
        <w:ind w:left="1606" w:hanging="1606" w:hangingChars="5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项目名称：三江侗族自治县自然灾害救援能力提升工程服务项目</w:t>
      </w:r>
    </w:p>
    <w:p>
      <w:pPr>
        <w:spacing w:line="72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32"/>
          <w:szCs w:val="32"/>
          <w:highlight w:val="none"/>
          <w:lang w:val="en-US" w:eastAsia="zh-CN"/>
        </w:rPr>
        <w:t>项目编号：</w:t>
      </w:r>
      <w:r>
        <w:rPr>
          <w:rFonts w:hint="eastAsia" w:ascii="宋体" w:hAnsi="宋体" w:eastAsia="宋体" w:cs="宋体"/>
          <w:b/>
          <w:bCs/>
          <w:color w:val="auto"/>
          <w:sz w:val="32"/>
          <w:szCs w:val="32"/>
          <w:highlight w:val="none"/>
        </w:rPr>
        <w:t>LZZC2023-C3-260022-ZHJB</w:t>
      </w:r>
    </w:p>
    <w:p>
      <w:pPr>
        <w:spacing w:line="720" w:lineRule="auto"/>
        <w:outlineLvl w:val="0"/>
        <w:rPr>
          <w:rFonts w:hint="eastAsia" w:ascii="宋体" w:hAnsi="宋体" w:eastAsia="宋体" w:cs="宋体"/>
          <w:b/>
          <w:bCs/>
          <w:color w:val="auto"/>
          <w:sz w:val="32"/>
          <w:szCs w:val="32"/>
          <w:lang w:val="en-US" w:eastAsia="zh-CN"/>
        </w:rPr>
      </w:pPr>
      <w:bookmarkStart w:id="2" w:name="_Toc9256"/>
    </w:p>
    <w:p>
      <w:pPr>
        <w:spacing w:line="720" w:lineRule="auto"/>
        <w:outlineLvl w:val="0"/>
        <w:rPr>
          <w:rFonts w:hint="eastAsia" w:ascii="宋体" w:hAnsi="宋体" w:eastAsia="宋体" w:cs="宋体"/>
          <w:b/>
          <w:bCs/>
          <w:color w:val="auto"/>
          <w:sz w:val="32"/>
          <w:szCs w:val="32"/>
          <w:lang w:val="en-US" w:eastAsia="zh-CN"/>
        </w:rPr>
      </w:pPr>
      <w:bookmarkStart w:id="3" w:name="_Toc18685"/>
      <w:r>
        <w:rPr>
          <w:rFonts w:hint="eastAsia" w:ascii="宋体" w:hAnsi="宋体" w:eastAsia="宋体" w:cs="宋体"/>
          <w:b/>
          <w:bCs/>
          <w:color w:val="auto"/>
          <w:sz w:val="32"/>
          <w:szCs w:val="32"/>
          <w:lang w:val="en-US" w:eastAsia="zh-CN"/>
        </w:rPr>
        <w:t>采购人：三江侗族自治县应急管理局</w:t>
      </w:r>
      <w:bookmarkEnd w:id="2"/>
      <w:bookmarkEnd w:id="3"/>
    </w:p>
    <w:p>
      <w:pPr>
        <w:spacing w:line="720" w:lineRule="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采购代理机构：中环建（北京）工程管理有限公司</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2023年6月</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sdt>
      <w:sdtPr>
        <w:rPr>
          <w:rFonts w:hint="eastAsia" w:ascii="宋体" w:hAnsi="宋体" w:eastAsia="宋体" w:cs="宋体"/>
          <w:color w:val="auto"/>
          <w:kern w:val="2"/>
          <w:sz w:val="32"/>
          <w:szCs w:val="32"/>
          <w:lang w:val="en-US" w:eastAsia="zh-CN" w:bidi="ar-SA"/>
        </w:rPr>
        <w:id w:val="147461252"/>
        <w15:color w:val="DBDBDB"/>
        <w:docPartObj>
          <w:docPartGallery w:val="Table of Contents"/>
          <w:docPartUnique/>
        </w:docPartObj>
      </w:sdtPr>
      <w:sdtEndPr>
        <w:rPr>
          <w:rFonts w:hint="eastAsia" w:ascii="宋体" w:hAnsi="宋体" w:eastAsia="宋体" w:cs="宋体"/>
          <w:color w:val="auto"/>
          <w:kern w:val="0"/>
          <w:sz w:val="16"/>
          <w:szCs w:val="16"/>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目录</w:t>
          </w:r>
        </w:p>
        <w:p>
          <w:pPr>
            <w:pStyle w:val="18"/>
            <w:tabs>
              <w:tab w:val="right" w:leader="dot" w:pos="8306"/>
            </w:tabs>
            <w:spacing w:line="360" w:lineRule="auto"/>
            <w:rPr>
              <w:rFonts w:hint="eastAsia" w:ascii="宋体" w:hAnsi="宋体" w:eastAsia="宋体" w:cs="宋体"/>
            </w:rPr>
          </w:pP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TOC \o "1-1" \h \u </w:instrText>
          </w:r>
          <w:r>
            <w:rPr>
              <w:rFonts w:hint="eastAsia" w:ascii="宋体" w:hAnsi="宋体" w:eastAsia="宋体" w:cs="宋体"/>
              <w:color w:val="auto"/>
              <w:lang w:val="en-US" w:eastAsia="zh-CN"/>
            </w:rPr>
            <w:fldChar w:fldCharType="separate"/>
          </w:r>
        </w:p>
        <w:p>
          <w:pPr>
            <w:pStyle w:val="18"/>
            <w:tabs>
              <w:tab w:val="right" w:leader="dot" w:pos="8306"/>
            </w:tabs>
            <w:spacing w:line="360" w:lineRule="auto"/>
            <w:rPr>
              <w:rFonts w:hint="eastAsia" w:ascii="宋体" w:hAnsi="宋体" w:eastAsia="宋体" w:cs="宋体"/>
            </w:rPr>
          </w:pPr>
          <w:r>
            <w:rPr>
              <w:rFonts w:hint="eastAsia" w:ascii="宋体" w:hAnsi="宋体" w:eastAsia="宋体" w:cs="宋体"/>
              <w:color w:val="auto"/>
              <w:lang w:val="en-US" w:eastAsia="zh-CN"/>
            </w:rPr>
            <w:fldChar w:fldCharType="begin"/>
          </w:r>
          <w:r>
            <w:rPr>
              <w:rFonts w:hint="eastAsia" w:ascii="宋体" w:hAnsi="宋体" w:eastAsia="宋体" w:cs="宋体"/>
              <w:lang w:val="en-US" w:eastAsia="zh-CN"/>
            </w:rPr>
            <w:instrText xml:space="preserve"> HYPERLINK \l _Toc5264 </w:instrText>
          </w:r>
          <w:r>
            <w:rPr>
              <w:rFonts w:hint="eastAsia" w:ascii="宋体" w:hAnsi="宋体" w:eastAsia="宋体" w:cs="宋体"/>
              <w:lang w:val="en-US" w:eastAsia="zh-CN"/>
            </w:rPr>
            <w:fldChar w:fldCharType="separate"/>
          </w:r>
          <w:r>
            <w:rPr>
              <w:rFonts w:hint="eastAsia" w:ascii="宋体" w:hAnsi="宋体" w:eastAsia="宋体" w:cs="宋体"/>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_Toc5264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lang w:val="en-US" w:eastAsia="zh-CN"/>
            </w:rPr>
            <w:fldChar w:fldCharType="end"/>
          </w:r>
        </w:p>
        <w:p>
          <w:pPr>
            <w:pStyle w:val="18"/>
            <w:tabs>
              <w:tab w:val="right" w:leader="dot" w:pos="8306"/>
            </w:tabs>
            <w:spacing w:line="360" w:lineRule="auto"/>
            <w:rPr>
              <w:rFonts w:hint="eastAsia" w:ascii="宋体" w:hAnsi="宋体" w:eastAsia="宋体" w:cs="宋体"/>
            </w:rPr>
          </w:pPr>
          <w:r>
            <w:rPr>
              <w:rFonts w:hint="eastAsia" w:ascii="宋体" w:hAnsi="宋体" w:eastAsia="宋体" w:cs="宋体"/>
              <w:color w:val="auto"/>
              <w:lang w:val="en-US" w:eastAsia="zh-CN"/>
            </w:rPr>
            <w:fldChar w:fldCharType="begin"/>
          </w:r>
          <w:r>
            <w:rPr>
              <w:rFonts w:hint="eastAsia" w:ascii="宋体" w:hAnsi="宋体" w:eastAsia="宋体" w:cs="宋体"/>
              <w:lang w:val="en-US" w:eastAsia="zh-CN"/>
            </w:rPr>
            <w:instrText xml:space="preserve"> HYPERLINK \l _Toc10895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_Toc10895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lang w:val="en-US" w:eastAsia="zh-CN"/>
            </w:rPr>
            <w:fldChar w:fldCharType="end"/>
          </w:r>
        </w:p>
        <w:p>
          <w:pPr>
            <w:pStyle w:val="18"/>
            <w:tabs>
              <w:tab w:val="right" w:leader="dot" w:pos="8306"/>
            </w:tabs>
            <w:spacing w:line="360" w:lineRule="auto"/>
            <w:rPr>
              <w:rFonts w:hint="eastAsia" w:ascii="宋体" w:hAnsi="宋体" w:eastAsia="宋体" w:cs="宋体"/>
            </w:rPr>
          </w:pPr>
          <w:r>
            <w:rPr>
              <w:rFonts w:hint="eastAsia" w:ascii="宋体" w:hAnsi="宋体" w:eastAsia="宋体" w:cs="宋体"/>
              <w:color w:val="auto"/>
              <w:lang w:val="en-US" w:eastAsia="zh-CN"/>
            </w:rPr>
            <w:fldChar w:fldCharType="begin"/>
          </w:r>
          <w:r>
            <w:rPr>
              <w:rFonts w:hint="eastAsia" w:ascii="宋体" w:hAnsi="宋体" w:eastAsia="宋体" w:cs="宋体"/>
              <w:lang w:val="en-US" w:eastAsia="zh-CN"/>
            </w:rPr>
            <w:instrText xml:space="preserve"> HYPERLINK \l _Toc18784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第三章  项目采购需求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_Toc18784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auto"/>
              <w:lang w:val="en-US" w:eastAsia="zh-CN"/>
            </w:rPr>
            <w:fldChar w:fldCharType="end"/>
          </w:r>
        </w:p>
        <w:p>
          <w:pPr>
            <w:pStyle w:val="18"/>
            <w:tabs>
              <w:tab w:val="right" w:leader="dot" w:pos="8306"/>
            </w:tabs>
            <w:spacing w:line="360" w:lineRule="auto"/>
            <w:rPr>
              <w:rFonts w:hint="eastAsia" w:ascii="宋体" w:hAnsi="宋体" w:eastAsia="宋体" w:cs="宋体"/>
            </w:rPr>
          </w:pPr>
          <w:r>
            <w:rPr>
              <w:rFonts w:hint="eastAsia" w:ascii="宋体" w:hAnsi="宋体" w:eastAsia="宋体" w:cs="宋体"/>
              <w:color w:val="auto"/>
              <w:lang w:val="en-US" w:eastAsia="zh-CN"/>
            </w:rPr>
            <w:fldChar w:fldCharType="begin"/>
          </w:r>
          <w:r>
            <w:rPr>
              <w:rFonts w:hint="eastAsia" w:ascii="宋体" w:hAnsi="宋体" w:eastAsia="宋体" w:cs="宋体"/>
              <w:lang w:val="en-US" w:eastAsia="zh-CN"/>
            </w:rPr>
            <w:instrText xml:space="preserve"> HYPERLINK \l _Toc10674 </w:instrText>
          </w:r>
          <w:r>
            <w:rPr>
              <w:rFonts w:hint="eastAsia" w:ascii="宋体" w:hAnsi="宋体" w:eastAsia="宋体" w:cs="宋体"/>
              <w:lang w:val="en-US" w:eastAsia="zh-CN"/>
            </w:rPr>
            <w:fldChar w:fldCharType="separate"/>
          </w:r>
          <w:r>
            <w:rPr>
              <w:rFonts w:hint="eastAsia" w:ascii="宋体" w:hAnsi="宋体" w:eastAsia="宋体" w:cs="宋体"/>
            </w:rPr>
            <w:t>第四章  评审程序、评审方法和评审标准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_Toc10674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auto"/>
              <w:lang w:val="en-US" w:eastAsia="zh-CN"/>
            </w:rPr>
            <w:fldChar w:fldCharType="end"/>
          </w:r>
        </w:p>
        <w:p>
          <w:pPr>
            <w:pStyle w:val="18"/>
            <w:tabs>
              <w:tab w:val="right" w:leader="dot" w:pos="8306"/>
            </w:tabs>
            <w:spacing w:line="360" w:lineRule="auto"/>
            <w:rPr>
              <w:rFonts w:hint="eastAsia" w:ascii="宋体" w:hAnsi="宋体" w:eastAsia="宋体" w:cs="宋体"/>
            </w:rPr>
          </w:pPr>
          <w:r>
            <w:rPr>
              <w:rFonts w:hint="eastAsia" w:ascii="宋体" w:hAnsi="宋体" w:eastAsia="宋体" w:cs="宋体"/>
              <w:color w:val="auto"/>
              <w:lang w:val="en-US" w:eastAsia="zh-CN"/>
            </w:rPr>
            <w:fldChar w:fldCharType="begin"/>
          </w:r>
          <w:r>
            <w:rPr>
              <w:rFonts w:hint="eastAsia" w:ascii="宋体" w:hAnsi="宋体" w:eastAsia="宋体" w:cs="宋体"/>
              <w:lang w:val="en-US" w:eastAsia="zh-CN"/>
            </w:rPr>
            <w:instrText xml:space="preserve"> HYPERLINK \l _Toc29915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第五章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_Toc29915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lang w:val="en-US" w:eastAsia="zh-CN"/>
            </w:rPr>
            <w:fldChar w:fldCharType="end"/>
          </w:r>
        </w:p>
        <w:p>
          <w:pPr>
            <w:pStyle w:val="18"/>
            <w:tabs>
              <w:tab w:val="right" w:leader="dot" w:pos="8306"/>
            </w:tabs>
            <w:spacing w:line="360" w:lineRule="auto"/>
          </w:pPr>
          <w:r>
            <w:rPr>
              <w:rFonts w:hint="eastAsia" w:ascii="宋体" w:hAnsi="宋体" w:eastAsia="宋体" w:cs="宋体"/>
              <w:color w:val="auto"/>
              <w:lang w:val="en-US" w:eastAsia="zh-CN"/>
            </w:rPr>
            <w:fldChar w:fldCharType="begin"/>
          </w:r>
          <w:r>
            <w:rPr>
              <w:rFonts w:hint="eastAsia" w:ascii="宋体" w:hAnsi="宋体" w:eastAsia="宋体" w:cs="宋体"/>
              <w:lang w:val="en-US" w:eastAsia="zh-CN"/>
            </w:rPr>
            <w:instrText xml:space="preserve"> HYPERLINK \l _Toc10164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第六章  响应</w:t>
          </w:r>
          <w:r>
            <w:rPr>
              <w:rFonts w:hint="eastAsia" w:ascii="宋体" w:hAnsi="宋体" w:eastAsia="宋体" w:cs="宋体"/>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_Toc10164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color w:val="auto"/>
              <w:lang w:val="en-US" w:eastAsia="zh-CN"/>
            </w:rPr>
            <w:fldChar w:fldCharType="end"/>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fldChar w:fldCharType="end"/>
          </w:r>
        </w:p>
      </w:sdtContent>
    </w:sdt>
    <w:p>
      <w:pPr>
        <w:pStyle w:val="3"/>
        <w:bidi w:val="0"/>
        <w:outlineLvl w:val="9"/>
        <w:rPr>
          <w:rFonts w:hint="eastAsia" w:ascii="宋体" w:hAnsi="宋体" w:eastAsia="宋体" w:cs="宋体"/>
          <w:color w:val="auto"/>
          <w:sz w:val="24"/>
          <w:szCs w:val="24"/>
        </w:rPr>
        <w:sectPr>
          <w:headerReference r:id="rId3" w:type="first"/>
          <w:footerReference r:id="rId4" w:type="first"/>
          <w:pgSz w:w="11906" w:h="16838"/>
          <w:pgMar w:top="1440" w:right="1800" w:bottom="1440" w:left="1800" w:header="851" w:footer="992" w:gutter="0"/>
          <w:cols w:space="425" w:num="1"/>
          <w:docGrid w:type="lines" w:linePitch="312" w:charSpace="0"/>
        </w:sectPr>
      </w:pPr>
      <w:bookmarkStart w:id="4" w:name="_Toc254970489"/>
      <w:bookmarkStart w:id="5" w:name="_Toc254970630"/>
      <w:bookmarkStart w:id="6" w:name="_Toc18424518"/>
    </w:p>
    <w:p>
      <w:pPr>
        <w:pStyle w:val="3"/>
        <w:bidi w:val="0"/>
        <w:rPr>
          <w:rFonts w:hint="eastAsia" w:ascii="宋体" w:hAnsi="宋体" w:eastAsia="宋体" w:cs="宋体"/>
          <w:color w:val="auto"/>
        </w:rPr>
      </w:pPr>
      <w:bookmarkStart w:id="7" w:name="_Toc5264"/>
      <w:r>
        <w:rPr>
          <w:rFonts w:hint="eastAsia" w:ascii="宋体" w:hAnsi="宋体" w:eastAsia="宋体" w:cs="宋体"/>
          <w:color w:val="auto"/>
        </w:rPr>
        <w:t>第一章  竞争性磋商公告</w:t>
      </w:r>
      <w:bookmarkEnd w:id="4"/>
      <w:bookmarkEnd w:id="5"/>
      <w:bookmarkEnd w:id="6"/>
      <w:bookmarkEnd w:id="7"/>
    </w:p>
    <w:p>
      <w:pPr>
        <w:pBdr>
          <w:top w:val="single" w:color="auto" w:sz="4" w:space="1"/>
          <w:left w:val="single" w:color="auto" w:sz="4" w:space="4"/>
          <w:bottom w:val="single" w:color="auto" w:sz="4" w:space="5"/>
          <w:right w:val="single" w:color="auto" w:sz="4" w:space="4"/>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Bdr>
          <w:top w:val="single" w:color="auto" w:sz="4" w:space="1"/>
          <w:left w:val="single" w:color="auto" w:sz="4" w:space="4"/>
          <w:bottom w:val="single" w:color="auto" w:sz="4" w:space="5"/>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三江侗族自治县自然灾害救援能力提升工程服务项目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的潜在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应在</w:t>
      </w:r>
      <w:r>
        <w:rPr>
          <w:rFonts w:hint="eastAsia" w:ascii="宋体" w:hAnsi="宋体" w:eastAsia="宋体" w:cs="宋体"/>
          <w:color w:val="auto"/>
          <w:sz w:val="24"/>
          <w:szCs w:val="24"/>
          <w:u w:val="single"/>
        </w:rPr>
        <w:t>政采云平台（https://www.zcygov.cn/）</w:t>
      </w:r>
      <w:r>
        <w:rPr>
          <w:rFonts w:hint="eastAsia" w:ascii="宋体" w:hAnsi="宋体" w:eastAsia="宋体" w:cs="宋体"/>
          <w:color w:val="auto"/>
          <w:sz w:val="24"/>
          <w:szCs w:val="24"/>
        </w:rPr>
        <w:t>获取</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日9时</w:t>
      </w:r>
      <w:r>
        <w:rPr>
          <w:rFonts w:hint="eastAsia" w:ascii="宋体" w:hAnsi="宋体" w:eastAsia="宋体" w:cs="宋体"/>
          <w:color w:val="auto"/>
          <w:sz w:val="24"/>
          <w:szCs w:val="24"/>
          <w:u w:val="single"/>
        </w:rPr>
        <w:t>30分</w:t>
      </w:r>
      <w:r>
        <w:rPr>
          <w:rFonts w:hint="eastAsia" w:ascii="宋体" w:hAnsi="宋体" w:eastAsia="宋体" w:cs="宋体"/>
          <w:bCs/>
          <w:color w:val="auto"/>
          <w:sz w:val="24"/>
          <w:szCs w:val="24"/>
          <w:u w:val="single"/>
        </w:rPr>
        <w:t>（</w:t>
      </w:r>
      <w:r>
        <w:rPr>
          <w:rFonts w:hint="eastAsia" w:ascii="宋体" w:hAnsi="宋体" w:eastAsia="宋体" w:cs="宋体"/>
          <w:bCs/>
          <w:color w:val="auto"/>
          <w:sz w:val="24"/>
          <w:szCs w:val="24"/>
        </w:rPr>
        <w:t>北京时间）前递交</w:t>
      </w:r>
      <w:r>
        <w:rPr>
          <w:rFonts w:hint="eastAsia" w:ascii="宋体" w:hAnsi="宋体" w:cs="宋体"/>
          <w:bCs/>
          <w:color w:val="auto"/>
          <w:sz w:val="24"/>
          <w:szCs w:val="24"/>
          <w:lang w:val="en-US" w:eastAsia="zh-CN"/>
        </w:rPr>
        <w:t>响应</w:t>
      </w:r>
      <w:r>
        <w:rPr>
          <w:rFonts w:hint="eastAsia" w:ascii="宋体" w:hAnsi="宋体" w:eastAsia="宋体" w:cs="宋体"/>
          <w:bCs/>
          <w:color w:val="auto"/>
          <w:sz w:val="24"/>
          <w:szCs w:val="24"/>
        </w:rPr>
        <w:t>文件</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一、项目基本情况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highlight w:val="none"/>
        </w:rPr>
        <w:t>LZZC2023-C3-260022-ZHJB</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：三江侗族自治县自然灾害救援能力提升工程服务项目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预算总金额（元）：</w:t>
      </w:r>
      <w:r>
        <w:rPr>
          <w:rFonts w:hint="eastAsia" w:ascii="宋体" w:hAnsi="宋体" w:cs="宋体"/>
          <w:color w:val="auto"/>
          <w:sz w:val="24"/>
          <w:szCs w:val="24"/>
          <w:highlight w:val="none"/>
          <w:lang w:val="en-US" w:eastAsia="zh-CN"/>
        </w:rPr>
        <w:t>2466100.00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：三江侗族自治县自然灾害救援能力提升工程服务项目</w:t>
      </w:r>
      <w:r>
        <w:rPr>
          <w:rFonts w:hint="eastAsia" w:ascii="宋体" w:hAnsi="宋体" w:eastAsia="宋体" w:cs="宋体"/>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预算金额（元）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2466100.00</w:t>
      </w:r>
      <w:r>
        <w:rPr>
          <w:rFonts w:hint="eastAsia" w:ascii="宋体" w:hAnsi="宋体" w:eastAsia="宋体" w:cs="宋体"/>
          <w:b w:val="0"/>
          <w:bCs w:val="0"/>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eastAsia="zh-CN"/>
        </w:rPr>
        <w:t>三江侗族自治县自然灾害救援能力提升工程服务项目</w:t>
      </w:r>
      <w:r>
        <w:rPr>
          <w:rFonts w:hint="eastAsia" w:ascii="宋体" w:hAnsi="宋体" w:eastAsia="宋体" w:cs="宋体"/>
          <w:color w:val="auto"/>
          <w:sz w:val="24"/>
          <w:szCs w:val="24"/>
          <w:highlight w:val="none"/>
        </w:rPr>
        <w:t>1项；（具体内容详见</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采购需求》）。</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最高限价（如有）：</w:t>
      </w:r>
      <w:r>
        <w:rPr>
          <w:rFonts w:hint="eastAsia" w:ascii="宋体" w:hAnsi="宋体" w:cs="宋体"/>
          <w:color w:val="auto"/>
          <w:sz w:val="24"/>
          <w:szCs w:val="24"/>
          <w:highlight w:val="none"/>
          <w:lang w:val="en-US" w:eastAsia="zh-CN"/>
        </w:rPr>
        <w:t>2466100.00</w:t>
      </w:r>
      <w:r>
        <w:rPr>
          <w:rFonts w:hint="eastAsia" w:ascii="宋体" w:hAnsi="宋体" w:eastAsia="宋体" w:cs="宋体"/>
          <w:color w:val="auto"/>
          <w:sz w:val="24"/>
          <w:szCs w:val="24"/>
          <w:highlight w:val="none"/>
          <w:lang w:val="en-US" w:eastAsia="zh-CN"/>
        </w:rPr>
        <w:t>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合同履约期限：签订合同后自项目通过验收交付使用之日起3年。</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本标项（是）接受联合体</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lang w:eastAsia="zh-CN"/>
        </w:rPr>
        <w:t>。（联合体成员不得超过2家）。</w:t>
      </w:r>
    </w:p>
    <w:p>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备注：本项目为线上电子招标项目，有意向参与本项目的供应商应当做好参与全流程电子招投标交易的充分准备。</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二、申请人的资格要求：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满足《中华人民共和国政府采购法》第二十二条规定；</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落实政府采购政策需满足的资格要求：无</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本项目的特定资格要求：</w:t>
      </w:r>
      <w:r>
        <w:rPr>
          <w:rFonts w:hint="eastAsia" w:ascii="宋体" w:hAnsi="宋体" w:eastAsia="宋体" w:cs="宋体"/>
          <w:b w:val="0"/>
          <w:bCs/>
          <w:color w:val="auto"/>
          <w:sz w:val="24"/>
          <w:szCs w:val="24"/>
          <w:lang w:eastAsia="zh-CN"/>
        </w:rPr>
        <w:t>无</w:t>
      </w:r>
      <w:r>
        <w:rPr>
          <w:rFonts w:hint="eastAsia" w:ascii="宋体" w:hAnsi="宋体" w:eastAsia="宋体" w:cs="宋体"/>
          <w:b w:val="0"/>
          <w:bCs/>
          <w:color w:val="auto"/>
          <w:sz w:val="24"/>
          <w:szCs w:val="24"/>
        </w:rPr>
        <w:t>。</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三、获取</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文件</w:t>
      </w:r>
    </w:p>
    <w:p>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rPr>
        <w:t>日至</w:t>
      </w:r>
      <w:r>
        <w:rPr>
          <w:rFonts w:hint="eastAsia" w:ascii="宋体" w:hAnsi="宋体" w:eastAsia="宋体" w:cs="宋体"/>
          <w:color w:val="auto"/>
          <w:sz w:val="24"/>
          <w:szCs w:val="24"/>
          <w:highlight w:val="none"/>
          <w:u w:val="none"/>
          <w:lang w:val="en-US" w:eastAsia="zh-CN"/>
        </w:rPr>
        <w:t>2023年</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15</w:t>
      </w:r>
      <w:r>
        <w:rPr>
          <w:rFonts w:hint="eastAsia" w:ascii="宋体" w:hAnsi="宋体" w:eastAsia="宋体" w:cs="宋体"/>
          <w:color w:val="auto"/>
          <w:sz w:val="24"/>
          <w:szCs w:val="24"/>
          <w:highlight w:val="none"/>
          <w:u w:val="none"/>
          <w:lang w:val="en-US" w:eastAsia="zh-CN"/>
        </w:rPr>
        <w:t>日，每天</w:t>
      </w:r>
      <w:r>
        <w:rPr>
          <w:rFonts w:hint="eastAsia" w:ascii="宋体" w:hAnsi="宋体" w:eastAsia="宋体" w:cs="宋体"/>
          <w:color w:val="auto"/>
          <w:sz w:val="24"/>
          <w:szCs w:val="24"/>
          <w:u w:val="none"/>
          <w:lang w:val="en-US" w:eastAsia="zh-CN"/>
        </w:rPr>
        <w:t>上午08:00至12:00；下午12:00至17:30（北京时间，法定节假日除外）。</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网址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政采云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平台（https://www.zcygov.cn/）</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方式：线上获取。登录政采云平台（https://www.zcygov.cn/），在“工作台”—“项目采购”—“获取采购文件”选择本项目，点击“申请获取采购文件”进行申请提交后，在已申请栏中选择下载本项目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文件。提示：1.未注册的供应商可在政采云平台完成注册后再行获取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2.供应商只有在“政采云平台”完成获取采购文件申请并下载了采购文件后才视作依法获取采购文件（法律法规所指的供应商获取采购文件时间以供应商完成获取采购文件申请后下载采购文件的时间为准）。3.已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不等于符合本项目的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资格。</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p>
    <w:p>
      <w:pPr>
        <w:spacing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四、</w:t>
      </w:r>
      <w:r>
        <w:rPr>
          <w:rFonts w:hint="eastAsia" w:ascii="宋体" w:hAnsi="宋体" w:eastAsia="宋体" w:cs="宋体"/>
          <w:b/>
          <w:color w:val="auto"/>
          <w:sz w:val="24"/>
          <w:szCs w:val="24"/>
          <w:lang w:val="en-US" w:eastAsia="zh-CN"/>
        </w:rPr>
        <w:t>响应文件提交</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19</w:t>
      </w:r>
      <w:r>
        <w:rPr>
          <w:rFonts w:hint="eastAsia" w:ascii="宋体" w:hAnsi="宋体" w:eastAsia="宋体" w:cs="宋体"/>
          <w:color w:val="auto"/>
          <w:sz w:val="24"/>
          <w:szCs w:val="24"/>
          <w:highlight w:val="none"/>
          <w:u w:val="none"/>
        </w:rPr>
        <w:t>日9时30分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北京</w:t>
      </w:r>
      <w:r>
        <w:rPr>
          <w:rFonts w:hint="eastAsia" w:ascii="宋体" w:hAnsi="宋体" w:eastAsia="宋体" w:cs="宋体"/>
          <w:color w:val="auto"/>
          <w:sz w:val="24"/>
          <w:szCs w:val="24"/>
          <w:u w:val="none"/>
          <w:lang w:val="en-US" w:eastAsia="zh-CN"/>
        </w:rPr>
        <w:t>时间</w:t>
      </w:r>
      <w:r>
        <w:rPr>
          <w:rFonts w:hint="eastAsia" w:ascii="宋体" w:hAnsi="宋体" w:eastAsia="宋体" w:cs="宋体"/>
          <w:color w:val="auto"/>
          <w:sz w:val="24"/>
          <w:szCs w:val="24"/>
          <w:u w:val="none"/>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网址）：政采云平台（https://www.zcy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政采云平台拒收）</w:t>
      </w:r>
      <w:r>
        <w:rPr>
          <w:rFonts w:hint="eastAsia" w:ascii="宋体" w:hAnsi="宋体" w:eastAsia="宋体" w:cs="宋体"/>
          <w:color w:val="auto"/>
          <w:sz w:val="24"/>
          <w:szCs w:val="24"/>
          <w:lang w:eastAsia="zh-CN"/>
        </w:rPr>
        <w:t>。</w:t>
      </w:r>
    </w:p>
    <w:p>
      <w:pPr>
        <w:spacing w:line="360" w:lineRule="auto"/>
        <w:ind w:firstLine="482" w:firstLineChars="200"/>
        <w:rPr>
          <w:rFonts w:hint="default" w:ascii="宋体" w:hAnsi="宋体" w:eastAsia="宋体" w:cs="宋体"/>
          <w:b/>
          <w:color w:val="auto"/>
          <w:sz w:val="24"/>
          <w:szCs w:val="24"/>
          <w:lang w:val="en-US"/>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响应文件开启</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开启时间：</w:t>
      </w:r>
      <w:r>
        <w:rPr>
          <w:rFonts w:hint="eastAsia" w:ascii="宋体" w:hAnsi="宋体" w:eastAsia="宋体" w:cs="宋体"/>
          <w:b w:val="0"/>
          <w:bCs/>
          <w:color w:val="auto"/>
          <w:sz w:val="24"/>
          <w:szCs w:val="24"/>
          <w:highlight w:val="none"/>
          <w:lang w:val="en-US" w:eastAsia="zh-CN"/>
        </w:rPr>
        <w:t>2023年</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lang w:val="en-US" w:eastAsia="zh-CN"/>
        </w:rPr>
        <w:t>日 09</w:t>
      </w:r>
      <w:r>
        <w:rPr>
          <w:rFonts w:hint="eastAsia" w:ascii="宋体" w:hAnsi="宋体" w:eastAsia="宋体" w:cs="宋体"/>
          <w:b w:val="0"/>
          <w:bCs/>
          <w:color w:val="auto"/>
          <w:sz w:val="24"/>
          <w:szCs w:val="24"/>
          <w:lang w:val="en-US" w:eastAsia="zh-CN"/>
        </w:rPr>
        <w:t>:30（北京时间）。</w:t>
      </w:r>
    </w:p>
    <w:p>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b w:val="0"/>
          <w:bCs/>
          <w:color w:val="auto"/>
          <w:sz w:val="24"/>
          <w:szCs w:val="24"/>
          <w:lang w:val="en-US" w:eastAsia="zh-CN"/>
        </w:rPr>
        <w:t>地    点：政采云平台（https://www.zcygov.cn/）。</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、公告期限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、其他补充事宜</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lang w:val="en-US" w:eastAsia="zh-CN"/>
        </w:rPr>
        <w:t>磋商</w:t>
      </w:r>
      <w:r>
        <w:rPr>
          <w:rFonts w:hint="eastAsia" w:ascii="宋体" w:hAnsi="宋体" w:eastAsia="宋体" w:cs="宋体"/>
          <w:bCs/>
          <w:color w:val="auto"/>
          <w:sz w:val="24"/>
          <w:szCs w:val="24"/>
        </w:rPr>
        <w:t>保证金</w:t>
      </w:r>
      <w:r>
        <w:rPr>
          <w:rFonts w:hint="eastAsia" w:ascii="宋体" w:hAnsi="宋体" w:eastAsia="宋体" w:cs="宋体"/>
          <w:color w:val="auto"/>
          <w:sz w:val="24"/>
          <w:szCs w:val="24"/>
        </w:rPr>
        <w:t>：人民币</w:t>
      </w:r>
      <w:r>
        <w:rPr>
          <w:rFonts w:hint="eastAsia" w:ascii="宋体" w:hAnsi="宋体" w:eastAsia="宋体" w:cs="宋体"/>
          <w:color w:val="auto"/>
          <w:sz w:val="24"/>
          <w:szCs w:val="24"/>
          <w:lang w:val="en-US" w:eastAsia="zh-CN"/>
        </w:rPr>
        <w:t>贰万元整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0,000.00）。</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磋商供应商应于截标时间前将磋商保证金以电汇、转账、网上银行支付、银行保函或担保等非现金形式转入以下账户，否则视为无效磋商保证金；</w:t>
      </w:r>
    </w:p>
    <w:p>
      <w:pPr>
        <w:bidi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开户名称：中环建（北京）工程管理有限公司三江分公司</w:t>
      </w:r>
    </w:p>
    <w:p>
      <w:pPr>
        <w:bidi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账    号：75000500000000006091</w:t>
      </w:r>
    </w:p>
    <w:p>
      <w:pPr>
        <w:bidi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开户银行：柳州银行股份有限公司三江支行</w:t>
      </w:r>
    </w:p>
    <w:p>
      <w:pPr>
        <w:bidi w:val="0"/>
        <w:spacing w:line="360" w:lineRule="auto"/>
        <w:rPr>
          <w:rFonts w:hint="eastAsia" w:ascii="宋体" w:hAnsi="宋体" w:eastAsia="宋体" w:cs="宋体"/>
          <w:color w:val="auto"/>
        </w:rPr>
      </w:pPr>
      <w:r>
        <w:rPr>
          <w:rFonts w:hint="eastAsia" w:ascii="宋体" w:hAnsi="宋体" w:eastAsia="宋体" w:cs="宋体"/>
          <w:b/>
          <w:bCs/>
          <w:color w:val="auto"/>
          <w:lang w:val="en-US" w:eastAsia="zh-CN"/>
        </w:rPr>
        <w:t>注：</w:t>
      </w:r>
      <w:r>
        <w:rPr>
          <w:rFonts w:hint="eastAsia" w:ascii="宋体" w:hAnsi="宋体" w:eastAsia="宋体" w:cs="宋体"/>
          <w:b/>
          <w:bCs/>
          <w:color w:val="auto"/>
        </w:rPr>
        <w:t>磋商保证金应在磋商有效期内保持有效。若为联合体</w:t>
      </w:r>
      <w:r>
        <w:rPr>
          <w:rFonts w:hint="eastAsia" w:ascii="宋体" w:hAnsi="宋体" w:eastAsia="宋体" w:cs="宋体"/>
          <w:b/>
          <w:bCs/>
          <w:color w:val="auto"/>
          <w:lang w:val="en-US" w:eastAsia="zh-CN"/>
        </w:rPr>
        <w:t>竞标</w:t>
      </w:r>
      <w:r>
        <w:rPr>
          <w:rFonts w:hint="eastAsia" w:ascii="宋体" w:hAnsi="宋体" w:eastAsia="宋体" w:cs="宋体"/>
          <w:b/>
          <w:bCs/>
          <w:color w:val="auto"/>
        </w:rPr>
        <w:t>的，磋商保证金必须由下载本项目采购文件的供应商提交，否则</w:t>
      </w:r>
      <w:r>
        <w:rPr>
          <w:rFonts w:hint="eastAsia" w:ascii="宋体" w:hAnsi="宋体" w:eastAsia="宋体" w:cs="宋体"/>
          <w:b/>
          <w:bCs/>
          <w:color w:val="auto"/>
          <w:lang w:val="en-US" w:eastAsia="zh-CN"/>
        </w:rPr>
        <w:t>竞标</w:t>
      </w:r>
      <w:r>
        <w:rPr>
          <w:rFonts w:hint="eastAsia" w:ascii="宋体" w:hAnsi="宋体" w:eastAsia="宋体" w:cs="宋体"/>
          <w:b/>
          <w:bCs/>
          <w:color w:val="auto"/>
        </w:rPr>
        <w:t>无效。</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2、网上查询地址</w:t>
      </w:r>
      <w:r>
        <w:rPr>
          <w:rFonts w:hint="eastAsia" w:ascii="宋体" w:hAnsi="宋体" w:eastAsia="宋体" w:cs="宋体"/>
          <w:color w:val="auto"/>
          <w:sz w:val="24"/>
          <w:szCs w:val="24"/>
        </w:rPr>
        <w:t>：中国政府采购网（http://www.ccgp.gov.cn/）、广西壮族自治区政府采购网（http://zfcg.gxzf.gov.cn/）、柳州市政府采购网（http://zfcg.lzscz.liuzhou.gov.cn/）。</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3、本项目需要落实的政府采购政策：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（1）《关于调整优化节能产品、环境标志产品政府采购执行机制的通知》（财库〔2019〕9号）。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（2）《政府采购促进中小企业发展管理办法》（财库〔2020〕46 号）。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（3）《关于促进残疾人就业政府采购政策的通知》（财库[2017] 141 号）。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（4）《关于政府采购支持监狱企业发展有关问题的通知》（财库[2014]68 号）。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 政府采购支持采用本国产品的政策。</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参与电子投标特别说明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本项目通过政采云平台实行电子投标，供应商应按照本项目竞争性磋商文件和政采云平台的要求，通过“政采云电子投标客户端”编制、加密并提交电子响应文件。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参与电子标的供应商必须为政采云平台的正式供应商且申领CA证书，各供应商应在开标前及时完成平台注册、CA证书申领、CA证书绑定、下载投标客户端，熟悉并掌握政采云电子标系统操作。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1）供应商应及时熟悉掌握电子标系统操作流程，操作流程视频教程：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http://zcy.gensee.ex1.https.443.g0.ipv6.liuzhou.gov.cn/webcast/site/vod/play-d60e598afb6d428d83124d26e0d14f48?nickName=%E6%9D%8E%E6%A1%A6%E8%BE%B0&amp;token=196800&amp;k=786c927b94945358e79472c4cb1b140e&amp;uid=10007531688</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2）供应商应及时完成CA申领和绑定（见广西壮族自治区政府采购网—办事服务—下载专区-政采云CA证书办理操作指南）：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http://www.ccgp-guangxi.gov.ex2.http.80.g0.ipv6.liuzhou.gov.cn/OfficeService/DownloadArea/4759578.html</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应商通过政采云投标客户端软件制作响应文件，政采云投标客户端软件请供应商自行前往下载并安装：http://customer.zcygov.ex2.https.443.g0.ipv6.liuzhou.gov.cn/CA-driver-download?utm=web-permission-front.43ec66b7.0.0.03da045082e611ea92d56b556e835c50</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因未注册政采云平台、未办理CA证书、CA证书故障、操作不当等原因造成无法投标或投标失败等后果由供应商自行承担；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供应商在使用政采云平台参与投标过程中遇到涉及平台使用的任何问题，可致电政采云平台技术支持热线咨询，联系方式：95763。</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、对本次招标提出询问，请按以下方式联系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采购人：三江侗族自治县应急管理局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三江侗族自治县古宜镇雅</w:t>
      </w:r>
      <w:r>
        <w:rPr>
          <w:rFonts w:hint="eastAsia" w:ascii="宋体" w:hAnsi="宋体" w:cs="宋体"/>
          <w:color w:val="auto"/>
          <w:sz w:val="24"/>
          <w:szCs w:val="24"/>
          <w:lang w:val="en-US" w:eastAsia="zh-CN"/>
        </w:rPr>
        <w:t>谷</w:t>
      </w:r>
      <w:r>
        <w:rPr>
          <w:rFonts w:hint="eastAsia" w:ascii="宋体" w:hAnsi="宋体" w:eastAsia="宋体" w:cs="宋体"/>
          <w:color w:val="auto"/>
          <w:sz w:val="24"/>
          <w:szCs w:val="24"/>
          <w:lang w:val="en-US" w:eastAsia="zh-CN"/>
        </w:rPr>
        <w:t>路66号</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吴工</w:t>
      </w:r>
      <w:r>
        <w:rPr>
          <w:rFonts w:hint="eastAsia" w:ascii="宋体" w:hAnsi="宋体" w:eastAsia="宋体" w:cs="宋体"/>
          <w:color w:val="auto"/>
          <w:sz w:val="24"/>
          <w:szCs w:val="24"/>
        </w:rPr>
        <w:t xml:space="preserve">         联</w:t>
      </w:r>
      <w:r>
        <w:rPr>
          <w:rFonts w:hint="eastAsia" w:ascii="宋体" w:hAnsi="宋体" w:eastAsia="宋体" w:cs="宋体"/>
          <w:color w:val="auto"/>
          <w:sz w:val="24"/>
          <w:szCs w:val="24"/>
          <w:highlight w:val="none"/>
        </w:rPr>
        <w:t>系电话：0772-</w:t>
      </w:r>
      <w:r>
        <w:rPr>
          <w:rFonts w:hint="eastAsia" w:ascii="宋体" w:hAnsi="宋体" w:eastAsia="宋体" w:cs="宋体"/>
          <w:color w:val="auto"/>
          <w:sz w:val="24"/>
          <w:szCs w:val="24"/>
          <w:highlight w:val="none"/>
          <w:lang w:val="en-US" w:eastAsia="zh-CN"/>
        </w:rPr>
        <w:t>8613380</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中环建（北京）工程管理</w:t>
      </w:r>
      <w:r>
        <w:rPr>
          <w:rFonts w:hint="eastAsia" w:ascii="宋体" w:hAnsi="宋体" w:eastAsia="宋体" w:cs="宋体"/>
          <w:color w:val="auto"/>
          <w:sz w:val="24"/>
          <w:szCs w:val="24"/>
        </w:rPr>
        <w:t>有限公司</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highlight w:val="none"/>
        </w:rPr>
        <w:t>三江洞族自治县古宜镇丽水浅湾19栋3单元 302室（原旧征地办</w:t>
      </w:r>
      <w:r>
        <w:rPr>
          <w:rFonts w:hint="eastAsia" w:ascii="宋体" w:hAnsi="宋体" w:eastAsia="宋体" w:cs="宋体"/>
          <w:color w:val="auto"/>
          <w:highlight w:val="none"/>
          <w:lang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梁舒芸</w:t>
      </w:r>
      <w:r>
        <w:rPr>
          <w:rFonts w:hint="eastAsia" w:ascii="宋体" w:hAnsi="宋体" w:eastAsia="宋体" w:cs="宋体"/>
          <w:color w:val="auto"/>
          <w:sz w:val="24"/>
          <w:szCs w:val="24"/>
        </w:rPr>
        <w:t xml:space="preserve">       联系电话：0772-</w:t>
      </w:r>
      <w:r>
        <w:rPr>
          <w:rFonts w:hint="eastAsia" w:ascii="宋体" w:hAnsi="宋体" w:eastAsia="宋体" w:cs="宋体"/>
          <w:color w:val="auto"/>
          <w:sz w:val="24"/>
          <w:szCs w:val="24"/>
          <w:lang w:val="en-US" w:eastAsia="zh-CN"/>
        </w:rPr>
        <w:t>2626561</w:t>
      </w:r>
    </w:p>
    <w:p>
      <w:pPr>
        <w:spacing w:line="360" w:lineRule="auto"/>
        <w:jc w:val="right"/>
        <w:outlineLvl w:val="0"/>
        <w:rPr>
          <w:rFonts w:hint="eastAsia" w:ascii="宋体" w:hAnsi="宋体" w:eastAsia="宋体" w:cs="宋体"/>
          <w:color w:val="auto"/>
          <w:sz w:val="24"/>
          <w:szCs w:val="24"/>
          <w:lang w:val="en-US" w:eastAsia="zh-CN"/>
        </w:rPr>
      </w:pPr>
      <w:bookmarkStart w:id="8" w:name="_Toc22766"/>
    </w:p>
    <w:p>
      <w:pPr>
        <w:spacing w:line="360" w:lineRule="auto"/>
        <w:jc w:val="right"/>
        <w:outlineLvl w:val="0"/>
        <w:rPr>
          <w:rFonts w:hint="eastAsia" w:ascii="宋体" w:hAnsi="宋体" w:eastAsia="宋体" w:cs="宋体"/>
          <w:color w:val="auto"/>
          <w:sz w:val="24"/>
          <w:szCs w:val="24"/>
          <w:lang w:val="en-US" w:eastAsia="zh-CN"/>
        </w:rPr>
      </w:pPr>
    </w:p>
    <w:p>
      <w:pPr>
        <w:spacing w:line="360" w:lineRule="auto"/>
        <w:jc w:val="right"/>
        <w:outlineLvl w:val="0"/>
        <w:rPr>
          <w:rFonts w:hint="eastAsia" w:ascii="宋体" w:hAnsi="宋体" w:eastAsia="宋体" w:cs="宋体"/>
          <w:color w:val="auto"/>
          <w:sz w:val="24"/>
          <w:szCs w:val="24"/>
          <w:lang w:val="en-US" w:eastAsia="zh-CN"/>
        </w:rPr>
      </w:pPr>
    </w:p>
    <w:bookmarkEnd w:id="8"/>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3"/>
        <w:numPr>
          <w:ilvl w:val="0"/>
          <w:numId w:val="2"/>
        </w:numPr>
        <w:bidi w:val="0"/>
        <w:rPr>
          <w:rFonts w:hint="eastAsia" w:ascii="宋体" w:hAnsi="宋体" w:eastAsia="宋体" w:cs="宋体"/>
          <w:color w:val="auto"/>
          <w:lang w:val="en-US" w:eastAsia="zh-CN"/>
        </w:rPr>
      </w:pPr>
      <w:bookmarkStart w:id="9" w:name="_Toc10895"/>
      <w:r>
        <w:rPr>
          <w:rFonts w:hint="eastAsia" w:ascii="宋体" w:hAnsi="宋体" w:eastAsia="宋体" w:cs="宋体"/>
          <w:color w:val="auto"/>
          <w:lang w:val="en-US" w:eastAsia="zh-CN"/>
        </w:rPr>
        <w:t>供应商须知</w:t>
      </w:r>
      <w:bookmarkEnd w:id="9"/>
    </w:p>
    <w:p>
      <w:pPr>
        <w:bidi w:val="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供应商须知前附表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bidi w:val="0"/>
              <w:spacing w:line="360" w:lineRule="auto"/>
              <w:jc w:val="center"/>
              <w:rPr>
                <w:rFonts w:hint="eastAsia" w:ascii="宋体" w:hAnsi="宋体" w:eastAsia="宋体" w:cs="宋体"/>
                <w:color w:val="auto"/>
              </w:rPr>
            </w:pPr>
            <w:bookmarkStart w:id="10" w:name="_Toc254970668"/>
            <w:bookmarkStart w:id="11" w:name="_Toc254970527"/>
            <w:r>
              <w:rPr>
                <w:rFonts w:hint="eastAsia" w:ascii="宋体" w:hAnsi="宋体" w:eastAsia="宋体" w:cs="宋体"/>
                <w:color w:val="auto"/>
              </w:rPr>
              <w:t>序号</w:t>
            </w:r>
          </w:p>
        </w:tc>
        <w:tc>
          <w:tcPr>
            <w:tcW w:w="8232" w:type="dxa"/>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eastAsia="宋体" w:cs="宋体"/>
                <w:color w:val="auto"/>
                <w:lang w:val="en-US" w:eastAsia="zh-CN"/>
              </w:rPr>
              <w:t>三江侗族自治县自然灾害救援能力提升工程服务项目</w:t>
            </w:r>
          </w:p>
          <w:p>
            <w:pPr>
              <w:bidi w:val="0"/>
              <w:spacing w:line="360" w:lineRule="auto"/>
              <w:rPr>
                <w:rFonts w:hint="eastAsia" w:ascii="宋体" w:hAnsi="宋体" w:eastAsia="宋体" w:cs="宋体"/>
                <w:color w:val="auto"/>
                <w:lang w:val="en-US" w:eastAsia="zh-CN"/>
              </w:rPr>
            </w:pPr>
            <w:r>
              <w:rPr>
                <w:rFonts w:hint="eastAsia" w:ascii="宋体" w:hAnsi="宋体" w:eastAsia="宋体" w:cs="宋体"/>
                <w:color w:val="auto"/>
                <w:highlight w:val="none"/>
              </w:rPr>
              <w:t>项目编号：LZZC2023-C3-260022-ZHJB</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8232" w:type="dxa"/>
            <w:vAlign w:val="center"/>
          </w:tcPr>
          <w:p>
            <w:pPr>
              <w:bidi w:val="0"/>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供应商</w:t>
            </w:r>
            <w:r>
              <w:rPr>
                <w:rFonts w:hint="eastAsia" w:ascii="宋体" w:hAnsi="宋体" w:eastAsia="宋体" w:cs="宋体"/>
                <w:color w:val="auto"/>
                <w:lang w:val="en-US" w:eastAsia="zh-CN"/>
              </w:rPr>
              <w:t>的资格要求：详见“竞争性磋商公告”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3</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磋商报价：供应商须就第三章《项目</w:t>
            </w:r>
            <w:r>
              <w:rPr>
                <w:rFonts w:hint="eastAsia" w:ascii="宋体" w:hAnsi="宋体" w:cs="宋体"/>
                <w:color w:val="auto"/>
                <w:lang w:val="en-US" w:eastAsia="zh-CN"/>
              </w:rPr>
              <w:t>采购</w:t>
            </w:r>
            <w:r>
              <w:rPr>
                <w:rFonts w:hint="eastAsia" w:ascii="宋体" w:hAnsi="宋体" w:eastAsia="宋体" w:cs="宋体"/>
                <w:color w:val="auto"/>
              </w:rPr>
              <w:t>需求》中所响应内容作完整唯一报价。</w:t>
            </w:r>
          </w:p>
          <w:p>
            <w:pPr>
              <w:bidi w:val="0"/>
              <w:spacing w:line="360" w:lineRule="auto"/>
              <w:rPr>
                <w:rFonts w:hint="eastAsia" w:ascii="宋体" w:hAnsi="宋体" w:eastAsia="宋体" w:cs="宋体"/>
                <w:color w:val="auto"/>
              </w:rPr>
            </w:pPr>
            <w:r>
              <w:rPr>
                <w:rFonts w:hint="eastAsia" w:ascii="宋体" w:hAnsi="宋体" w:eastAsia="宋体" w:cs="宋体"/>
                <w:color w:val="auto"/>
              </w:rPr>
              <w:t>对于本文件中未列明，而供应商认为必需的费用也需列入总报价。在合同实施时，采购人将不予支付成交供应商没有列入的项目费用，并认为此项目的费用已包括在总报价中。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4</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磋商保证金为：人民币贰万元整（￥20000.00）；</w:t>
            </w:r>
          </w:p>
          <w:p>
            <w:pPr>
              <w:bidi w:val="0"/>
              <w:spacing w:line="360" w:lineRule="auto"/>
              <w:rPr>
                <w:rFonts w:hint="eastAsia" w:ascii="宋体" w:hAnsi="宋体" w:eastAsia="宋体" w:cs="宋体"/>
                <w:color w:val="auto"/>
              </w:rPr>
            </w:pPr>
            <w:r>
              <w:rPr>
                <w:rFonts w:hint="eastAsia" w:ascii="宋体" w:hAnsi="宋体" w:cs="宋体"/>
                <w:color w:val="auto"/>
                <w:lang w:val="en-US" w:eastAsia="zh-CN"/>
              </w:rPr>
              <w:t>供应商</w:t>
            </w:r>
            <w:r>
              <w:rPr>
                <w:rFonts w:hint="eastAsia" w:ascii="宋体" w:hAnsi="宋体" w:eastAsia="宋体" w:cs="宋体"/>
                <w:color w:val="auto"/>
              </w:rPr>
              <w:t>须于竞标截止时间前将磋商保证金以电汇、转账、网上银行支付、银行保函或担保等非现金形式提交；磋商保证金以电汇、转账、网上银行支付形式提交的须交至以下账户，否则视为无效磋商保证金；银行保函或担保必须是无条件银行保函或担保，银行保函或担保有效期不得低于竞标有效期，否则视为无效磋商保证金。</w:t>
            </w:r>
          </w:p>
          <w:p>
            <w:pPr>
              <w:bidi w:val="0"/>
              <w:spacing w:line="360" w:lineRule="auto"/>
              <w:rPr>
                <w:rFonts w:hint="eastAsia" w:ascii="宋体" w:hAnsi="宋体" w:eastAsia="宋体" w:cs="宋体"/>
                <w:color w:val="auto"/>
              </w:rPr>
            </w:pPr>
            <w:r>
              <w:rPr>
                <w:rFonts w:hint="eastAsia" w:ascii="宋体" w:hAnsi="宋体" w:eastAsia="宋体" w:cs="宋体"/>
                <w:color w:val="auto"/>
              </w:rPr>
              <w:t>开户名称：中环建（北京）工程管理有限公司三江分公司</w:t>
            </w:r>
          </w:p>
          <w:p>
            <w:pPr>
              <w:bidi w:val="0"/>
              <w:spacing w:line="360" w:lineRule="auto"/>
              <w:rPr>
                <w:rFonts w:hint="eastAsia" w:ascii="宋体" w:hAnsi="宋体" w:eastAsia="宋体" w:cs="宋体"/>
                <w:color w:val="auto"/>
              </w:rPr>
            </w:pPr>
            <w:r>
              <w:rPr>
                <w:rFonts w:hint="eastAsia" w:ascii="宋体" w:hAnsi="宋体" w:eastAsia="宋体" w:cs="宋体"/>
                <w:color w:val="auto"/>
              </w:rPr>
              <w:t>开户银行：柳州银行股份有限公司三江支行</w:t>
            </w:r>
          </w:p>
          <w:p>
            <w:pPr>
              <w:bidi w:val="0"/>
              <w:spacing w:line="360" w:lineRule="auto"/>
              <w:rPr>
                <w:rFonts w:hint="eastAsia" w:ascii="宋体" w:hAnsi="宋体" w:eastAsia="宋体" w:cs="宋体"/>
                <w:color w:val="auto"/>
              </w:rPr>
            </w:pPr>
            <w:r>
              <w:rPr>
                <w:rFonts w:hint="eastAsia" w:ascii="宋体" w:hAnsi="宋体" w:eastAsia="宋体" w:cs="宋体"/>
                <w:color w:val="auto"/>
              </w:rPr>
              <w:t>银行账号：75000500000000006091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5</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响应文件组成：资格证明文件、商务报价</w:t>
            </w:r>
            <w:r>
              <w:rPr>
                <w:rFonts w:hint="eastAsia" w:ascii="宋体" w:hAnsi="宋体" w:cs="宋体"/>
                <w:color w:val="auto"/>
                <w:lang w:val="en-US" w:eastAsia="zh-CN"/>
              </w:rPr>
              <w:t>文件</w:t>
            </w:r>
            <w:r>
              <w:rPr>
                <w:rFonts w:hint="eastAsia" w:ascii="宋体" w:hAnsi="宋体" w:eastAsia="宋体" w:cs="宋体"/>
                <w:color w:val="auto"/>
              </w:rPr>
              <w:t>、技术</w:t>
            </w:r>
            <w:r>
              <w:rPr>
                <w:rFonts w:hint="eastAsia" w:ascii="宋体" w:hAnsi="宋体" w:cs="宋体"/>
                <w:color w:val="auto"/>
                <w:lang w:val="en-US" w:eastAsia="zh-CN"/>
              </w:rPr>
              <w:t>文件</w:t>
            </w:r>
            <w:r>
              <w:rPr>
                <w:rFonts w:hint="eastAsia" w:ascii="宋体" w:hAnsi="宋体" w:eastAsia="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6</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1.响应文件电子版要求：按照本采购文件“第六章 响应文件格式”编写（第六章未附格式的，由供应商自行拟定），不可涂改并在规定加盖公章处加盖电子公章，否则响应文件按无效响应处理；</w:t>
            </w:r>
          </w:p>
          <w:p>
            <w:pPr>
              <w:bidi w:val="0"/>
              <w:spacing w:line="360" w:lineRule="auto"/>
              <w:rPr>
                <w:rFonts w:hint="eastAsia" w:ascii="宋体" w:hAnsi="宋体" w:eastAsia="宋体" w:cs="宋体"/>
                <w:color w:val="auto"/>
              </w:rPr>
            </w:pPr>
            <w:r>
              <w:rPr>
                <w:rFonts w:hint="eastAsia" w:ascii="宋体" w:hAnsi="宋体" w:eastAsia="宋体" w:cs="宋体"/>
                <w:color w:val="auto"/>
              </w:rPr>
              <w:t>2.响应文件电子版密封方式：电子响应文件通过平台有效 CA 加密后在“政</w:t>
            </w:r>
          </w:p>
          <w:p>
            <w:pPr>
              <w:bidi w:val="0"/>
              <w:spacing w:line="360" w:lineRule="auto"/>
              <w:rPr>
                <w:rFonts w:hint="eastAsia" w:ascii="宋体" w:hAnsi="宋体" w:eastAsia="宋体" w:cs="宋体"/>
                <w:color w:val="auto"/>
              </w:rPr>
            </w:pPr>
            <w:r>
              <w:rPr>
                <w:rFonts w:hint="eastAsia" w:ascii="宋体" w:hAnsi="宋体" w:eastAsia="宋体" w:cs="宋体"/>
                <w:color w:val="auto"/>
              </w:rPr>
              <w:t>采云”平台投送。（操作方式见公告附件“电子响应文件制作与投送教程”）；3.电子响应文件中所须加盖公章部分均采用CA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7</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首次响应文件递交截止时间及地点：</w:t>
            </w:r>
            <w:r>
              <w:rPr>
                <w:rFonts w:hint="eastAsia" w:ascii="宋体" w:hAnsi="宋体" w:eastAsia="宋体" w:cs="宋体"/>
                <w:color w:val="auto"/>
                <w:lang w:val="en-US" w:eastAsia="zh-CN"/>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8</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磋商时间及地点：</w:t>
            </w:r>
          </w:p>
          <w:p>
            <w:pPr>
              <w:bidi w:val="0"/>
              <w:spacing w:line="360" w:lineRule="auto"/>
              <w:rPr>
                <w:rFonts w:hint="eastAsia" w:ascii="宋体" w:hAnsi="宋体" w:eastAsia="宋体" w:cs="宋体"/>
                <w:color w:val="auto"/>
              </w:rPr>
            </w:pPr>
            <w:r>
              <w:rPr>
                <w:rFonts w:hint="eastAsia" w:ascii="宋体" w:hAnsi="宋体" w:eastAsia="宋体" w:cs="宋体"/>
                <w:color w:val="auto"/>
              </w:rPr>
              <w:t>1.磋商时间：首次响应文件递交截止时间后，具体时间由采购代理机构另行通知；</w:t>
            </w:r>
          </w:p>
          <w:p>
            <w:pPr>
              <w:bidi w:val="0"/>
              <w:spacing w:line="360" w:lineRule="auto"/>
              <w:rPr>
                <w:rFonts w:hint="eastAsia" w:ascii="宋体" w:hAnsi="宋体" w:eastAsia="宋体" w:cs="宋体"/>
                <w:color w:val="auto"/>
              </w:rPr>
            </w:pPr>
            <w:r>
              <w:rPr>
                <w:rFonts w:hint="eastAsia" w:ascii="宋体" w:hAnsi="宋体" w:eastAsia="宋体" w:cs="宋体"/>
                <w:color w:val="auto"/>
              </w:rPr>
              <w:t>2.地点：在“政采云”平台电子开标大厅。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9</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10</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 xml:space="preserve">技术需求评审中允许负偏离的条款数为 </w:t>
            </w:r>
            <w:r>
              <w:rPr>
                <w:rFonts w:hint="eastAsia" w:ascii="宋体" w:hAnsi="宋体" w:cs="宋体"/>
                <w:color w:val="auto"/>
                <w:lang w:val="en-US" w:eastAsia="zh-CN"/>
              </w:rPr>
              <w:t>30</w:t>
            </w:r>
            <w:r>
              <w:rPr>
                <w:rFonts w:hint="eastAsia" w:ascii="宋体" w:hAnsi="宋体" w:eastAsia="宋体" w:cs="宋体"/>
                <w:color w:val="auto"/>
              </w:rPr>
              <w:t xml:space="preserve"> 项（含）。</w:t>
            </w:r>
          </w:p>
          <w:p>
            <w:pPr>
              <w:bidi w:val="0"/>
              <w:spacing w:line="360" w:lineRule="auto"/>
              <w:rPr>
                <w:rFonts w:hint="eastAsia" w:ascii="宋体" w:hAnsi="宋体" w:eastAsia="宋体" w:cs="宋体"/>
                <w:color w:val="auto"/>
              </w:rPr>
            </w:pPr>
            <w:r>
              <w:rPr>
                <w:rFonts w:hint="eastAsia" w:ascii="宋体" w:hAnsi="宋体" w:eastAsia="宋体" w:cs="宋体"/>
                <w:color w:val="auto"/>
              </w:rPr>
              <w:t>商务条款评审中允许负偏离的条款数为 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11</w:t>
            </w:r>
          </w:p>
        </w:tc>
        <w:tc>
          <w:tcPr>
            <w:tcW w:w="8232" w:type="dxa"/>
            <w:vAlign w:val="center"/>
          </w:tcPr>
          <w:p>
            <w:pPr>
              <w:bidi w:val="0"/>
              <w:spacing w:line="360" w:lineRule="auto"/>
              <w:rPr>
                <w:rFonts w:hint="eastAsia" w:ascii="宋体" w:hAnsi="宋体" w:eastAsia="宋体" w:cs="宋体"/>
                <w:color w:val="auto"/>
                <w:lang w:eastAsia="zh-CN"/>
              </w:rPr>
            </w:pPr>
            <w:r>
              <w:rPr>
                <w:rFonts w:hint="eastAsia" w:ascii="宋体" w:hAnsi="宋体" w:eastAsia="宋体" w:cs="宋体"/>
                <w:color w:val="auto"/>
              </w:rPr>
              <w:t>发布</w:t>
            </w:r>
            <w:r>
              <w:rPr>
                <w:rFonts w:hint="eastAsia" w:ascii="宋体" w:hAnsi="宋体" w:eastAsia="宋体" w:cs="宋体"/>
                <w:color w:val="auto"/>
                <w:lang w:val="en-US" w:eastAsia="zh-CN"/>
              </w:rPr>
              <w:t>媒介</w:t>
            </w:r>
            <w:r>
              <w:rPr>
                <w:rFonts w:hint="eastAsia" w:ascii="宋体" w:hAnsi="宋体" w:eastAsia="宋体" w:cs="宋体"/>
                <w:color w:val="auto"/>
              </w:rPr>
              <w:t>：中国政府采购网（http://www.ccgp.gov.cn/）、广西壮族自治区政府采购网（http://zfcg.gxzf.gov.cn/）、柳州市政府采购网（http://zfcg.lzscz.liuzhou.gov.cn/）</w:t>
            </w:r>
            <w:r>
              <w:rPr>
                <w:rFonts w:hint="eastAsia" w:ascii="宋体" w:hAnsi="宋体" w:eastAsia="宋体" w:cs="宋体"/>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12</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信用信息使用规则：</w:t>
            </w:r>
          </w:p>
          <w:p>
            <w:pPr>
              <w:bidi w:val="0"/>
              <w:spacing w:line="360" w:lineRule="auto"/>
              <w:rPr>
                <w:rFonts w:hint="eastAsia" w:ascii="宋体" w:hAnsi="宋体" w:eastAsia="宋体" w:cs="宋体"/>
                <w:color w:val="auto"/>
              </w:rPr>
            </w:pPr>
            <w:r>
              <w:rPr>
                <w:rFonts w:hint="eastAsia" w:ascii="宋体" w:hAnsi="宋体" w:eastAsia="宋体" w:cs="宋体"/>
                <w:color w:val="auto"/>
              </w:rPr>
              <w:t>采购人或者采购代理机构将对供应商信用记录进行甄别，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资格审查不通过，拒绝其参与政府采购活动。</w:t>
            </w:r>
          </w:p>
          <w:p>
            <w:pPr>
              <w:bidi w:val="0"/>
              <w:spacing w:line="360" w:lineRule="auto"/>
              <w:rPr>
                <w:rFonts w:hint="eastAsia" w:ascii="宋体" w:hAnsi="宋体" w:eastAsia="宋体" w:cs="宋体"/>
                <w:color w:val="auto"/>
              </w:rPr>
            </w:pPr>
            <w:r>
              <w:rPr>
                <w:rFonts w:hint="eastAsia" w:ascii="宋体" w:hAnsi="宋体" w:eastAsia="宋体" w:cs="宋体"/>
                <w:color w:val="auto"/>
              </w:rPr>
              <w:t>甄别方式：</w:t>
            </w:r>
          </w:p>
          <w:p>
            <w:pPr>
              <w:bidi w:val="0"/>
              <w:spacing w:line="360" w:lineRule="auto"/>
              <w:rPr>
                <w:rFonts w:hint="eastAsia" w:ascii="宋体" w:hAnsi="宋体" w:eastAsia="宋体" w:cs="宋体"/>
                <w:color w:val="auto"/>
              </w:rPr>
            </w:pPr>
            <w:r>
              <w:rPr>
                <w:rFonts w:hint="eastAsia" w:ascii="宋体" w:hAnsi="宋体" w:eastAsia="宋体" w:cs="宋体"/>
                <w:color w:val="auto"/>
              </w:rPr>
              <w:t>在成交通知书发出前，采购人或者采购代理机构将对成交人信用进行查询，并按照以上信用信息使用规则处理。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13</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成交公告及成交通知书：采购代理机构在采购人依法确认成交供应商后两个工作日内发布成交公告和成交通知书。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14</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 xml:space="preserve">磋商保证金退还（不计息）：除竞争性磋商文件规定不予退还保证金的情形外，供应商的磋商保证金一律以转账、电汇方式退还供应商，未成交供应商所提交的磋商保证金将在成交通知书发出后四个工作日内退还供应商，成交供应商所提交的磋商保证金在与双方签订合同后四个工作日内退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15</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签订合同时间：成交通知书发出后25日内。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16</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成交供应商可凭成交通知书、政府采购合同，通过中征应收账款融资服务平台向银行在线申请‘政采贷’融资。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17</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预算</w:t>
            </w:r>
            <w:r>
              <w:rPr>
                <w:rFonts w:hint="eastAsia" w:ascii="宋体" w:hAnsi="宋体" w:eastAsia="宋体" w:cs="宋体"/>
                <w:color w:val="auto"/>
                <w:lang w:val="en-US" w:eastAsia="zh-CN"/>
              </w:rPr>
              <w:t>金额（元）</w:t>
            </w:r>
            <w:r>
              <w:rPr>
                <w:rFonts w:hint="eastAsia" w:ascii="宋体" w:hAnsi="宋体" w:eastAsia="宋体" w:cs="宋体"/>
                <w:color w:val="auto"/>
              </w:rPr>
              <w:t>：</w:t>
            </w:r>
            <w:r>
              <w:rPr>
                <w:rFonts w:hint="eastAsia" w:ascii="宋体" w:hAnsi="宋体" w:eastAsia="宋体" w:cs="宋体"/>
                <w:color w:val="auto"/>
                <w:lang w:val="en-US" w:eastAsia="zh-CN"/>
              </w:rPr>
              <w:t>人民币</w:t>
            </w:r>
            <w:r>
              <w:rPr>
                <w:rFonts w:hint="eastAsia" w:ascii="宋体" w:hAnsi="宋体" w:cs="宋体"/>
                <w:color w:val="auto"/>
                <w:lang w:val="en-US" w:eastAsia="zh-CN"/>
              </w:rPr>
              <w:t>贰佰肆拾陆万陆仟壹佰</w:t>
            </w:r>
            <w:r>
              <w:rPr>
                <w:rFonts w:hint="eastAsia" w:ascii="宋体" w:hAnsi="宋体" w:eastAsia="宋体" w:cs="宋体"/>
                <w:color w:val="auto"/>
                <w:lang w:val="en-US" w:eastAsia="zh-CN"/>
              </w:rPr>
              <w:t>元整</w:t>
            </w:r>
            <w:r>
              <w:rPr>
                <w:rFonts w:hint="eastAsia" w:ascii="宋体" w:hAnsi="宋体" w:eastAsia="宋体" w:cs="宋体"/>
                <w:color w:val="auto"/>
                <w:lang w:eastAsia="zh-CN"/>
              </w:rPr>
              <w:t>（</w:t>
            </w:r>
            <w:r>
              <w:rPr>
                <w:rFonts w:hint="eastAsia" w:ascii="宋体" w:hAnsi="宋体" w:eastAsia="宋体" w:cs="宋体"/>
                <w:color w:val="auto"/>
                <w:lang w:val="en-US" w:eastAsia="zh-CN"/>
              </w:rPr>
              <w:t>¥</w:t>
            </w:r>
            <w:r>
              <w:rPr>
                <w:rFonts w:hint="eastAsia" w:ascii="宋体" w:hAnsi="宋体" w:cs="宋体"/>
                <w:color w:val="auto"/>
                <w:lang w:val="en-US" w:eastAsia="zh-CN"/>
              </w:rPr>
              <w:t>2466100.00</w:t>
            </w:r>
            <w:r>
              <w:rPr>
                <w:rFonts w:hint="eastAsia" w:ascii="宋体" w:hAnsi="宋体" w:eastAsia="宋体" w:cs="宋体"/>
                <w:color w:val="auto"/>
                <w:lang w:eastAsia="zh-CN"/>
              </w:rPr>
              <w:t>）</w:t>
            </w:r>
          </w:p>
          <w:p>
            <w:pPr>
              <w:bidi w:val="0"/>
              <w:spacing w:line="360" w:lineRule="auto"/>
              <w:rPr>
                <w:rFonts w:hint="eastAsia" w:ascii="宋体" w:hAnsi="宋体" w:eastAsia="宋体" w:cs="宋体"/>
                <w:color w:val="auto"/>
              </w:rPr>
            </w:pPr>
            <w:r>
              <w:rPr>
                <w:rFonts w:hint="eastAsia" w:ascii="宋体" w:hAnsi="宋体" w:eastAsia="宋体" w:cs="宋体"/>
                <w:color w:val="auto"/>
              </w:rPr>
              <w:t>最高限价</w:t>
            </w:r>
            <w:r>
              <w:rPr>
                <w:rFonts w:hint="eastAsia" w:ascii="宋体" w:hAnsi="宋体" w:eastAsia="宋体" w:cs="宋体"/>
                <w:color w:val="auto"/>
                <w:lang w:eastAsia="zh-CN"/>
              </w:rPr>
              <w:t>（</w:t>
            </w:r>
            <w:r>
              <w:rPr>
                <w:rFonts w:hint="eastAsia" w:ascii="宋体" w:hAnsi="宋体" w:eastAsia="宋体" w:cs="宋体"/>
                <w:color w:val="auto"/>
                <w:lang w:val="en-US" w:eastAsia="zh-CN"/>
              </w:rPr>
              <w:t>如有</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lang w:val="en-US" w:eastAsia="zh-CN"/>
              </w:rPr>
              <w:t>人民币</w:t>
            </w:r>
            <w:r>
              <w:rPr>
                <w:rFonts w:hint="eastAsia" w:ascii="宋体" w:hAnsi="宋体" w:cs="宋体"/>
                <w:color w:val="auto"/>
                <w:lang w:val="en-US" w:eastAsia="zh-CN"/>
              </w:rPr>
              <w:t>贰佰肆拾陆万陆仟壹佰</w:t>
            </w:r>
            <w:r>
              <w:rPr>
                <w:rFonts w:hint="eastAsia" w:ascii="宋体" w:hAnsi="宋体" w:eastAsia="宋体" w:cs="宋体"/>
                <w:color w:val="auto"/>
                <w:lang w:val="en-US" w:eastAsia="zh-CN"/>
              </w:rPr>
              <w:t>元整</w:t>
            </w:r>
            <w:r>
              <w:rPr>
                <w:rFonts w:hint="eastAsia" w:ascii="宋体" w:hAnsi="宋体" w:eastAsia="宋体" w:cs="宋体"/>
                <w:color w:val="auto"/>
                <w:lang w:eastAsia="zh-CN"/>
              </w:rPr>
              <w:t>（</w:t>
            </w:r>
            <w:r>
              <w:rPr>
                <w:rFonts w:hint="eastAsia" w:ascii="宋体" w:hAnsi="宋体" w:eastAsia="宋体" w:cs="宋体"/>
                <w:color w:val="auto"/>
                <w:lang w:val="en-US" w:eastAsia="zh-CN"/>
              </w:rPr>
              <w:t>¥</w:t>
            </w:r>
            <w:r>
              <w:rPr>
                <w:rFonts w:hint="eastAsia" w:ascii="宋体" w:hAnsi="宋体" w:cs="宋体"/>
                <w:color w:val="auto"/>
                <w:lang w:val="en-US" w:eastAsia="zh-CN"/>
              </w:rPr>
              <w:t>2466100.00</w:t>
            </w:r>
            <w:r>
              <w:rPr>
                <w:rFonts w:hint="eastAsia" w:ascii="宋体" w:hAnsi="宋体" w:eastAsia="宋体" w:cs="宋体"/>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18</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响应文件有效期：首次响应文件递交截止日期后60天。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19</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20</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本项目代理服务费参照国家发展计划委员会计价格[2002]1980号《招标代理服务费管理暂行办法》收费标准向成交人收取。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21</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备份响应文件:本项目不接受备份响应文件。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22</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履约保证金：</w:t>
            </w:r>
            <w:r>
              <w:rPr>
                <w:rFonts w:hint="eastAsia" w:ascii="宋体" w:hAnsi="宋体" w:eastAsia="宋体" w:cs="宋体"/>
                <w:color w:val="auto"/>
                <w:lang w:val="en-US" w:eastAsia="zh-CN"/>
              </w:rPr>
              <w:t>不需要提交</w:t>
            </w:r>
            <w:r>
              <w:rPr>
                <w:rFonts w:hint="eastAsia" w:ascii="宋体" w:hAnsi="宋体" w:eastAsia="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23</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签订线上政府采购合同须使用的有效 CA 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24</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25</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 xml:space="preserve">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 </w:t>
            </w:r>
          </w:p>
          <w:p>
            <w:pPr>
              <w:bidi w:val="0"/>
              <w:spacing w:line="360" w:lineRule="auto"/>
              <w:rPr>
                <w:rFonts w:hint="eastAsia" w:ascii="宋体" w:hAnsi="宋体" w:eastAsia="宋体" w:cs="宋体"/>
                <w:color w:val="auto"/>
              </w:rPr>
            </w:pPr>
            <w:r>
              <w:rPr>
                <w:rFonts w:hint="eastAsia" w:ascii="宋体" w:hAnsi="宋体" w:eastAsia="宋体" w:cs="宋体"/>
                <w:color w:val="auto"/>
              </w:rPr>
              <w:t xml:space="preserve">2.供应商为其他组织或者自然人时，本磋商文件规定的法定代表人指负责人或者自然人。本磋商文件所称负责人是指参加竞标的其他组织营业执照上的负责人，本磋商文件所称自然人指参与竞标的自然人本人。 </w:t>
            </w:r>
          </w:p>
          <w:p>
            <w:pPr>
              <w:bidi w:val="0"/>
              <w:spacing w:line="360" w:lineRule="auto"/>
              <w:rPr>
                <w:rFonts w:hint="eastAsia" w:ascii="宋体" w:hAnsi="宋体" w:eastAsia="宋体" w:cs="宋体"/>
                <w:color w:val="auto"/>
              </w:rPr>
            </w:pPr>
            <w:r>
              <w:rPr>
                <w:rFonts w:hint="eastAsia" w:ascii="宋体" w:hAnsi="宋体" w:eastAsia="宋体" w:cs="宋体"/>
                <w:color w:val="auto"/>
              </w:rPr>
              <w:t xml:space="preserve">3.本磋商文件中描述供应商的“签字”是指供应商的法定代表人或者委托代理人亲自在文件规定签署处亲笔写上个人的名字的行为，私章、签字章、印鉴、影印等其他形式均不能代替亲笔签字。 </w:t>
            </w:r>
          </w:p>
          <w:p>
            <w:pPr>
              <w:bidi w:val="0"/>
              <w:spacing w:line="360" w:lineRule="auto"/>
              <w:rPr>
                <w:rFonts w:hint="eastAsia" w:ascii="宋体" w:hAnsi="宋体" w:eastAsia="宋体" w:cs="宋体"/>
                <w:color w:val="auto"/>
              </w:rPr>
            </w:pPr>
            <w:r>
              <w:rPr>
                <w:rFonts w:hint="eastAsia" w:ascii="宋体" w:hAnsi="宋体" w:eastAsia="宋体" w:cs="宋体"/>
                <w:color w:val="auto"/>
              </w:rPr>
              <w:t>4.电子响应文件中须加盖供应商公章部分均采用CA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bidi w:val="0"/>
              <w:spacing w:line="360" w:lineRule="auto"/>
              <w:rPr>
                <w:rFonts w:hint="eastAsia" w:ascii="宋体" w:hAnsi="宋体" w:eastAsia="宋体" w:cs="宋体"/>
                <w:color w:val="auto"/>
              </w:rPr>
            </w:pPr>
            <w:r>
              <w:rPr>
                <w:rFonts w:hint="eastAsia" w:ascii="宋体" w:hAnsi="宋体" w:eastAsia="宋体" w:cs="宋体"/>
                <w:color w:val="auto"/>
              </w:rPr>
              <w:t>5.CA签章上关于法人（负责人）或授权代表签字信息，供应商在响应文件中涉及到签字的位置线下【签好字然后扫描或者拍照做成PDF的格式】或【通过政采云电子交易客户端使用CA法人（负责人）或授权代表签章】亦可。响应文件中涉及到签字的位置未按要求签字的，提供的材料视为无效。</w:t>
            </w:r>
          </w:p>
          <w:p>
            <w:pPr>
              <w:bidi w:val="0"/>
              <w:spacing w:line="360" w:lineRule="auto"/>
              <w:rPr>
                <w:rFonts w:hint="eastAsia" w:ascii="宋体" w:hAnsi="宋体" w:eastAsia="宋体" w:cs="宋体"/>
                <w:color w:val="auto"/>
              </w:rPr>
            </w:pPr>
            <w:r>
              <w:rPr>
                <w:rFonts w:hint="eastAsia" w:ascii="宋体" w:hAnsi="宋体" w:eastAsia="宋体" w:cs="宋体"/>
                <w:color w:val="auto"/>
              </w:rPr>
              <w:t>6.自然人竞标的，磋商文件规定盖公章处由自然人摁手指指印。</w:t>
            </w:r>
          </w:p>
          <w:p>
            <w:pPr>
              <w:bidi w:val="0"/>
              <w:spacing w:line="360" w:lineRule="auto"/>
              <w:rPr>
                <w:rFonts w:hint="eastAsia" w:ascii="宋体" w:hAnsi="宋体" w:eastAsia="宋体" w:cs="宋体"/>
                <w:color w:val="auto"/>
              </w:rPr>
            </w:pPr>
            <w:r>
              <w:rPr>
                <w:rFonts w:hint="eastAsia" w:ascii="宋体" w:hAnsi="宋体" w:eastAsia="宋体" w:cs="宋体"/>
                <w:color w:val="auto"/>
              </w:rPr>
              <w:t>7.本磋商文件所称的“以上”“以下”“以内”“届满”，包括本数；所称的“不满”“超过”“以外”，不包括本数。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17" w:type="dxa"/>
            <w:vAlign w:val="center"/>
          </w:tcPr>
          <w:p>
            <w:pPr>
              <w:bidi w:val="0"/>
              <w:spacing w:line="360" w:lineRule="auto"/>
              <w:jc w:val="center"/>
              <w:rPr>
                <w:rFonts w:hint="eastAsia" w:ascii="宋体" w:hAnsi="宋体" w:eastAsia="宋体" w:cs="宋体"/>
                <w:color w:val="auto"/>
              </w:rPr>
            </w:pPr>
            <w:r>
              <w:rPr>
                <w:rFonts w:hint="eastAsia" w:ascii="宋体" w:hAnsi="宋体" w:eastAsia="宋体" w:cs="宋体"/>
                <w:color w:val="auto"/>
              </w:rPr>
              <w:t>26</w:t>
            </w:r>
          </w:p>
        </w:tc>
        <w:tc>
          <w:tcPr>
            <w:tcW w:w="8232" w:type="dxa"/>
            <w:vAlign w:val="center"/>
          </w:tcPr>
          <w:p>
            <w:pPr>
              <w:bidi w:val="0"/>
              <w:spacing w:line="360" w:lineRule="auto"/>
              <w:rPr>
                <w:rFonts w:hint="eastAsia" w:ascii="宋体" w:hAnsi="宋体" w:eastAsia="宋体" w:cs="宋体"/>
                <w:color w:val="auto"/>
              </w:rPr>
            </w:pPr>
            <w:r>
              <w:rPr>
                <w:rFonts w:hint="eastAsia" w:ascii="宋体" w:hAnsi="宋体" w:eastAsia="宋体" w:cs="宋体"/>
                <w:color w:val="auto"/>
              </w:rPr>
              <w:t>解释权：构成本磋商文件的各个组成文件应互为解释，互为说明；除磋商文件中有特别规定外，仅适用于竞标阶段的规定，按更正公告（澄清公告）、竞争性磋商公告、供应商须知、采购需求、评审程序、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pPr>
              <w:bidi w:val="0"/>
              <w:spacing w:line="360" w:lineRule="auto"/>
              <w:rPr>
                <w:rFonts w:hint="eastAsia" w:ascii="宋体" w:hAnsi="宋体" w:eastAsia="宋体" w:cs="宋体"/>
                <w:color w:val="auto"/>
              </w:rPr>
            </w:pPr>
            <w:r>
              <w:rPr>
                <w:rFonts w:hint="eastAsia" w:ascii="宋体" w:hAnsi="宋体" w:eastAsia="宋体" w:cs="宋体"/>
                <w:color w:val="auto"/>
              </w:rPr>
              <w:t>法律责任：</w:t>
            </w:r>
          </w:p>
          <w:p>
            <w:pPr>
              <w:bidi w:val="0"/>
              <w:spacing w:line="360" w:lineRule="auto"/>
              <w:rPr>
                <w:rFonts w:hint="eastAsia" w:ascii="宋体" w:hAnsi="宋体" w:eastAsia="宋体" w:cs="宋体"/>
                <w:color w:val="auto"/>
              </w:rPr>
            </w:pPr>
            <w:r>
              <w:rPr>
                <w:rFonts w:hint="eastAsia" w:ascii="宋体" w:hAnsi="宋体" w:eastAsia="宋体" w:cs="宋体"/>
                <w:color w:val="auto"/>
              </w:rPr>
              <w:t xml:space="preserve">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 </w:t>
            </w:r>
          </w:p>
          <w:p>
            <w:pPr>
              <w:bidi w:val="0"/>
              <w:spacing w:line="360" w:lineRule="auto"/>
              <w:rPr>
                <w:rFonts w:hint="eastAsia" w:ascii="宋体" w:hAnsi="宋体" w:eastAsia="宋体" w:cs="宋体"/>
                <w:color w:val="auto"/>
              </w:rPr>
            </w:pPr>
            <w:r>
              <w:rPr>
                <w:rFonts w:hint="eastAsia" w:ascii="宋体" w:hAnsi="宋体" w:eastAsia="宋体" w:cs="宋体"/>
                <w:color w:val="auto"/>
              </w:rPr>
              <w:t>2.本项目采购代理机构应严格按照“政采云”平台项目采购全流程电子化电子开评标规程执行项目采购活动，代理机构在“项目管理”一“采购文件管理”内开评标规则设置作为本采购文件的组成部分，一经开标不可更改，因代理机构开评标规则设置错误导致采购活动无法开展下去的情况，由代理机构负责解释并承担其后果。</w:t>
            </w:r>
          </w:p>
        </w:tc>
      </w:tr>
    </w:tbl>
    <w:p>
      <w:pPr>
        <w:spacing w:line="240" w:lineRule="auto"/>
        <w:jc w:val="center"/>
        <w:rPr>
          <w:rFonts w:hint="eastAsia" w:ascii="宋体" w:hAnsi="宋体" w:eastAsia="宋体" w:cs="宋体"/>
          <w:b/>
          <w:color w:val="auto"/>
          <w:sz w:val="28"/>
          <w:szCs w:val="28"/>
        </w:rPr>
      </w:pPr>
      <w:r>
        <w:rPr>
          <w:rFonts w:hint="eastAsia" w:ascii="宋体" w:hAnsi="宋体" w:cs="宋体"/>
          <w:b/>
          <w:color w:val="auto"/>
        </w:rPr>
        <w:br w:type="page"/>
      </w:r>
      <w:r>
        <w:rPr>
          <w:rFonts w:hint="eastAsia" w:ascii="宋体" w:hAnsi="宋体" w:eastAsia="宋体" w:cs="宋体"/>
          <w:b/>
          <w:color w:val="auto"/>
          <w:sz w:val="28"/>
          <w:szCs w:val="28"/>
        </w:rPr>
        <w:t>一、总则</w:t>
      </w:r>
    </w:p>
    <w:p>
      <w:pPr>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1.适应范围</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1.1 项目名称及采购编号：</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 xml:space="preserve">三江侗族自治县自然灾害救援能力提升工程服务项目 </w:t>
      </w:r>
      <w:r>
        <w:rPr>
          <w:rFonts w:hint="eastAsia" w:ascii="宋体" w:hAnsi="宋体" w:eastAsia="宋体" w:cs="宋体"/>
          <w:color w:val="auto"/>
          <w:sz w:val="24"/>
          <w:szCs w:val="24"/>
        </w:rPr>
        <w:tab/>
      </w:r>
    </w:p>
    <w:p>
      <w:pPr>
        <w:spacing w:line="240" w:lineRule="auto"/>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采购编号：LZZC2023-C3-260022-ZHJB</w:t>
      </w:r>
      <w:r>
        <w:rPr>
          <w:rFonts w:hint="eastAsia" w:ascii="宋体" w:hAnsi="宋体" w:eastAsia="宋体" w:cs="宋体"/>
          <w:color w:val="auto"/>
          <w:sz w:val="24"/>
          <w:szCs w:val="24"/>
          <w:highlight w:val="none"/>
          <w:lang w:val="en-US" w:eastAsia="zh-CN"/>
        </w:rPr>
        <w:t xml:space="preserve"> </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1.2 本竞争性磋商文件（以下简称磋商文件）适用于本磋商项目的磋商、评审、合同履约、验收、付款等行为（法律、法规另有规定的，从其规定）。</w:t>
      </w:r>
    </w:p>
    <w:p>
      <w:pPr>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2.定义</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 “供应商”是指符合本次采购项目的供应商资格并提交响应文件、参加磋商的供应商。如果该供应商在本次磋商中成交，即成为“成交供应商”。</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 “服务”系指按磋商文件规定，供应商须承担的安装、调试、技术协助、校准、培训、技术指导以及其他类似的义务。</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2.3 “项目”系指供应商按磋商文件规定向采购人提供的货物、工程和服务。</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2.4 “书面形式”包括信函、传真、电报等。</w:t>
      </w:r>
    </w:p>
    <w:p>
      <w:pPr>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3.供应商资格</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3.1 满足《中华人民共和国政府采购法》第二十二条规定；</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3.2 落实政府采购政策需满足的资格要求：无；</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3.3 本项目的特定资格要求：无。</w:t>
      </w:r>
    </w:p>
    <w:p>
      <w:pPr>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4.磋商费用</w:t>
      </w:r>
    </w:p>
    <w:p>
      <w:pPr>
        <w:tabs>
          <w:tab w:val="left" w:pos="163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不论磋商结果如何，供应商均应自行承担所有与磋商有关的全部费用。</w:t>
      </w:r>
    </w:p>
    <w:p>
      <w:pPr>
        <w:tabs>
          <w:tab w:val="left" w:pos="1635"/>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5.联合体要求：</w:t>
      </w:r>
    </w:p>
    <w:p>
      <w:pPr>
        <w:snapToGrid w:val="0"/>
        <w:spacing w:line="240" w:lineRule="auto"/>
        <w:ind w:firstLine="420" w:firstLineChars="175"/>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5.1本项目</w:t>
      </w:r>
      <w:r>
        <w:rPr>
          <w:rFonts w:hint="eastAsia" w:ascii="宋体" w:hAnsi="宋体" w:eastAsia="宋体" w:cs="宋体"/>
          <w:b w:val="0"/>
          <w:bCs/>
          <w:color w:val="auto"/>
          <w:sz w:val="24"/>
          <w:szCs w:val="24"/>
          <w:u w:val="single"/>
        </w:rPr>
        <w:t>接受</w:t>
      </w:r>
      <w:r>
        <w:rPr>
          <w:rFonts w:hint="eastAsia" w:ascii="宋体" w:hAnsi="宋体" w:eastAsia="宋体" w:cs="宋体"/>
          <w:b w:val="0"/>
          <w:bCs/>
          <w:color w:val="auto"/>
          <w:sz w:val="24"/>
          <w:szCs w:val="24"/>
        </w:rPr>
        <w:t>联合体</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w:t>
      </w:r>
    </w:p>
    <w:p>
      <w:pPr>
        <w:snapToGrid w:val="0"/>
        <w:spacing w:line="240" w:lineRule="auto"/>
        <w:ind w:firstLine="420" w:firstLineChars="175"/>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6.2两个以上自然人、法人或者其他组织可以组成一个联合体，以一个</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rPr>
        <w:t>的身份参与</w:t>
      </w:r>
      <w:r>
        <w:rPr>
          <w:rFonts w:hint="eastAsia" w:ascii="宋体" w:hAnsi="宋体" w:cs="宋体"/>
          <w:b w:val="0"/>
          <w:bCs/>
          <w:color w:val="auto"/>
          <w:sz w:val="24"/>
          <w:szCs w:val="24"/>
          <w:lang w:val="en-US" w:eastAsia="zh-CN"/>
        </w:rPr>
        <w:t>竞</w:t>
      </w:r>
      <w:r>
        <w:rPr>
          <w:rFonts w:hint="eastAsia" w:ascii="宋体" w:hAnsi="宋体" w:eastAsia="宋体" w:cs="宋体"/>
          <w:b w:val="0"/>
          <w:bCs/>
          <w:color w:val="auto"/>
          <w:sz w:val="24"/>
          <w:szCs w:val="24"/>
        </w:rPr>
        <w:t>标。（本项目联合体成员不得超过2家。）</w:t>
      </w:r>
    </w:p>
    <w:p>
      <w:pPr>
        <w:snapToGrid w:val="0"/>
        <w:spacing w:line="240" w:lineRule="auto"/>
        <w:ind w:firstLine="420" w:firstLineChars="175"/>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5.3以联合体形式参加</w:t>
      </w:r>
      <w:r>
        <w:rPr>
          <w:rFonts w:hint="eastAsia" w:ascii="宋体" w:hAnsi="宋体" w:cs="宋体"/>
          <w:b w:val="0"/>
          <w:bCs/>
          <w:color w:val="auto"/>
          <w:sz w:val="24"/>
          <w:szCs w:val="24"/>
          <w:lang w:val="en-US" w:eastAsia="zh-CN"/>
        </w:rPr>
        <w:t>竞</w:t>
      </w:r>
      <w:r>
        <w:rPr>
          <w:rFonts w:hint="eastAsia" w:ascii="宋体" w:hAnsi="宋体" w:eastAsia="宋体" w:cs="宋体"/>
          <w:b w:val="0"/>
          <w:bCs/>
          <w:color w:val="auto"/>
          <w:sz w:val="24"/>
          <w:szCs w:val="24"/>
        </w:rPr>
        <w:t>标的，联合体各方均应当符合“政府采购法第二十二条第一款规定”的条件。</w:t>
      </w:r>
    </w:p>
    <w:p>
      <w:pPr>
        <w:snapToGrid w:val="0"/>
        <w:spacing w:line="240" w:lineRule="auto"/>
        <w:ind w:firstLine="420" w:firstLineChars="175"/>
        <w:jc w:val="left"/>
        <w:rPr>
          <w:rFonts w:hint="eastAsia" w:ascii="宋体" w:hAnsi="宋体" w:eastAsia="宋体" w:cs="宋体"/>
          <w:b/>
          <w:color w:val="auto"/>
          <w:sz w:val="24"/>
          <w:szCs w:val="24"/>
        </w:rPr>
      </w:pPr>
      <w:r>
        <w:rPr>
          <w:rFonts w:hint="eastAsia" w:ascii="宋体" w:hAnsi="宋体" w:eastAsia="宋体" w:cs="宋体"/>
          <w:b w:val="0"/>
          <w:bCs/>
          <w:color w:val="auto"/>
          <w:sz w:val="24"/>
          <w:szCs w:val="24"/>
        </w:rPr>
        <w:t>5.4联合体各方之间应当签订《联合</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标协议书》，【联合体</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标时必须提供有效的共同</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标协议（即联合体协议书），否则其</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标无效。】明确约定联合体各方承担的工作和义务，各方承担责任与义务的分工必须符合采购需求，否则联合体</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标无效。其中联合体牵头人代表联合体各方成员负责</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标和合同实施阶段的主办、协调工作，但联合体其他成员在</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标、签约与履行合同过程中，负有连带的和各自的法律责任。联合体各方签订《联合</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标协议书》后，不得再以自己名义单独在同一项目（分标）中</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标，也不得组成新的联合体参加同一项目（分标）</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标，否则其</w:t>
      </w:r>
      <w:r>
        <w:rPr>
          <w:rFonts w:hint="eastAsia" w:ascii="宋体" w:hAnsi="宋体" w:eastAsia="宋体" w:cs="宋体"/>
          <w:b w:val="0"/>
          <w:bCs/>
          <w:color w:val="auto"/>
          <w:sz w:val="24"/>
          <w:szCs w:val="24"/>
          <w:lang w:val="en-US" w:eastAsia="zh-CN"/>
        </w:rPr>
        <w:t>竞</w:t>
      </w:r>
      <w:r>
        <w:rPr>
          <w:rFonts w:hint="eastAsia" w:ascii="宋体" w:hAnsi="宋体" w:eastAsia="宋体" w:cs="宋体"/>
          <w:b w:val="0"/>
          <w:bCs/>
          <w:color w:val="auto"/>
          <w:sz w:val="24"/>
          <w:szCs w:val="24"/>
        </w:rPr>
        <w:t>标无效。</w:t>
      </w:r>
    </w:p>
    <w:p>
      <w:pPr>
        <w:snapToGrid w:val="0"/>
        <w:spacing w:line="240" w:lineRule="auto"/>
        <w:ind w:firstLine="420" w:firstLineChars="17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5.5</w:t>
      </w:r>
      <w:r>
        <w:rPr>
          <w:rFonts w:hint="eastAsia" w:ascii="宋体" w:hAnsi="宋体" w:eastAsia="宋体" w:cs="宋体"/>
          <w:bCs/>
          <w:color w:val="auto"/>
          <w:sz w:val="24"/>
          <w:szCs w:val="24"/>
          <w:lang w:val="en-US" w:eastAsia="zh-CN"/>
        </w:rPr>
        <w:t>竞</w:t>
      </w:r>
      <w:r>
        <w:rPr>
          <w:rFonts w:hint="eastAsia" w:ascii="宋体" w:hAnsi="宋体" w:eastAsia="宋体" w:cs="宋体"/>
          <w:bCs/>
          <w:color w:val="auto"/>
          <w:sz w:val="24"/>
          <w:szCs w:val="24"/>
        </w:rPr>
        <w:t>标联合体各方的业绩、信誉、企业认证、人员资质等均可作评审标准的证明材料。</w:t>
      </w:r>
    </w:p>
    <w:p>
      <w:pPr>
        <w:snapToGrid w:val="0"/>
        <w:spacing w:line="240" w:lineRule="auto"/>
        <w:ind w:firstLine="420" w:firstLineChars="17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5.6联合体中有同类资质的</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rPr>
        <w:t>按照联合体分工承担相同工作的，按资质等级较低的一方确定资质等级。</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bCs/>
          <w:color w:val="auto"/>
          <w:sz w:val="24"/>
          <w:szCs w:val="24"/>
        </w:rPr>
        <w:t>5.7根据《政府采购促进中小企业发展管理办法》第九条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tabs>
          <w:tab w:val="left" w:pos="2190"/>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6.质疑和投诉</w:t>
      </w:r>
      <w:r>
        <w:rPr>
          <w:rFonts w:hint="eastAsia" w:ascii="宋体" w:hAnsi="宋体" w:eastAsia="宋体" w:cs="宋体"/>
          <w:b/>
          <w:color w:val="auto"/>
          <w:sz w:val="24"/>
          <w:szCs w:val="24"/>
        </w:rPr>
        <w:tab/>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6.1 供应商认为磋商文件使自己的合法权益受到损害的，应当在知道或者应知其权益受到损害之日起7个工作日内，以书面形式向采购代理机构提出质疑。供应商认为采购过程或成交结果使自己的合法权益受到损害的，应当在成交公告期限届满之日起七个工作日内，以书面形式采购代理机构提出质疑。采购代理机构应认真做好质疑处理工作。</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接收质疑函的方式：以书面形式（原件）提交；</w:t>
      </w:r>
    </w:p>
    <w:p>
      <w:pPr>
        <w:snapToGrid w:val="0"/>
        <w:spacing w:line="240" w:lineRule="auto"/>
        <w:ind w:firstLine="420" w:firstLineChars="17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联系部门：</w:t>
      </w:r>
      <w:r>
        <w:rPr>
          <w:rFonts w:hint="eastAsia" w:ascii="宋体" w:hAnsi="宋体" w:eastAsia="宋体" w:cs="宋体"/>
          <w:color w:val="auto"/>
          <w:sz w:val="24"/>
          <w:szCs w:val="24"/>
          <w:lang w:val="en-US" w:eastAsia="zh-CN"/>
        </w:rPr>
        <w:t>中环建（北京）工程管理</w:t>
      </w:r>
      <w:r>
        <w:rPr>
          <w:rFonts w:hint="eastAsia" w:ascii="宋体" w:hAnsi="宋体" w:eastAsia="宋体" w:cs="宋体"/>
          <w:color w:val="auto"/>
          <w:sz w:val="24"/>
          <w:szCs w:val="24"/>
        </w:rPr>
        <w:t>有限公司</w:t>
      </w:r>
      <w:r>
        <w:rPr>
          <w:rFonts w:hint="eastAsia" w:ascii="宋体" w:hAnsi="宋体" w:eastAsia="宋体" w:cs="宋体"/>
          <w:color w:val="auto"/>
          <w:sz w:val="24"/>
          <w:szCs w:val="24"/>
          <w:lang w:eastAsia="zh-CN"/>
        </w:rPr>
        <w:t>；</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梁舒芸</w:t>
      </w:r>
      <w:r>
        <w:rPr>
          <w:rFonts w:hint="eastAsia" w:ascii="宋体" w:hAnsi="宋体" w:eastAsia="宋体" w:cs="宋体"/>
          <w:color w:val="auto"/>
          <w:sz w:val="24"/>
          <w:szCs w:val="24"/>
        </w:rPr>
        <w:t>；</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联系电话：0772-</w:t>
      </w:r>
      <w:r>
        <w:rPr>
          <w:rFonts w:hint="eastAsia" w:ascii="宋体" w:hAnsi="宋体" w:eastAsia="宋体" w:cs="宋体"/>
          <w:color w:val="auto"/>
          <w:sz w:val="24"/>
          <w:szCs w:val="24"/>
          <w:lang w:val="en-US" w:eastAsia="zh-CN"/>
        </w:rPr>
        <w:t>2626561</w:t>
      </w:r>
      <w:r>
        <w:rPr>
          <w:rFonts w:hint="eastAsia" w:ascii="宋体" w:hAnsi="宋体" w:eastAsia="宋体" w:cs="宋体"/>
          <w:color w:val="auto"/>
          <w:sz w:val="24"/>
          <w:szCs w:val="24"/>
        </w:rPr>
        <w:t>；</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通讯地址：三江洞族自治县古宜镇丽水浅湾19栋3单元 302室（原旧征地办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6.2 供应商对采购代理机构的质疑答复不满意或者采购代理机构未在规定的时间内作出答复的，可以在答复期满后十五个工作日内向同级政府采购监督管理机构投诉。</w:t>
      </w:r>
    </w:p>
    <w:p>
      <w:pPr>
        <w:snapToGrid w:val="0"/>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6.3 质疑、投诉应当采用书面形式，质疑书、投诉书实行实名制，均应明确阐述磋商文件、响应过程或成交结果中使自己合法权益受到损害的实质性内容，并提供必要的证明材料。</w:t>
      </w:r>
    </w:p>
    <w:p>
      <w:pPr>
        <w:tabs>
          <w:tab w:val="left" w:pos="2190"/>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7.转包与分包</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7.1 本项目不允许转包。</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7.2 本项目不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rPr>
        <w:t>分包。</w:t>
      </w:r>
    </w:p>
    <w:p>
      <w:pPr>
        <w:tabs>
          <w:tab w:val="left" w:pos="2190"/>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8.特别说明</w:t>
      </w:r>
    </w:p>
    <w:p>
      <w:pPr>
        <w:pStyle w:val="7"/>
        <w:keepNext w:val="0"/>
        <w:keepLines w:val="0"/>
        <w:snapToGrid w:val="0"/>
        <w:spacing w:before="0" w:after="0" w:line="240" w:lineRule="auto"/>
        <w:ind w:firstLine="420" w:firstLineChars="175"/>
        <w:rPr>
          <w:rFonts w:hint="eastAsia" w:ascii="宋体" w:hAnsi="宋体" w:eastAsia="宋体" w:cs="宋体"/>
          <w:b w:val="0"/>
          <w:bCs w:val="0"/>
          <w:color w:val="auto"/>
          <w:sz w:val="24"/>
          <w:szCs w:val="24"/>
        </w:rPr>
      </w:pPr>
      <w:bookmarkStart w:id="12" w:name="_Toc6450"/>
      <w:bookmarkStart w:id="13" w:name="_Toc5277"/>
      <w:bookmarkStart w:id="14" w:name="_Toc452364065"/>
      <w:bookmarkStart w:id="15" w:name="_Toc14656"/>
      <w:bookmarkStart w:id="16" w:name="_Toc28642"/>
      <w:bookmarkStart w:id="17" w:name="_Toc24887"/>
      <w:bookmarkStart w:id="18" w:name="_Toc32567"/>
      <w:bookmarkStart w:id="19" w:name="_Toc3764"/>
      <w:bookmarkStart w:id="20" w:name="_Toc7184"/>
      <w:bookmarkStart w:id="21" w:name="_Toc4323"/>
      <w:bookmarkStart w:id="22" w:name="_Toc1331"/>
      <w:bookmarkStart w:id="23" w:name="_Toc25257"/>
      <w:bookmarkStart w:id="24" w:name="_Toc23468"/>
      <w:bookmarkStart w:id="25" w:name="_Toc25830"/>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"_8.1"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8.1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提供相同品牌产品且通过资格审查、符合性审查的不同供应商参加同一合同项下</w:t>
      </w:r>
      <w:r>
        <w:rPr>
          <w:rFonts w:hint="eastAsia" w:ascii="宋体" w:hAnsi="宋体" w:eastAsia="宋体" w:cs="宋体"/>
          <w:b w:val="0"/>
          <w:bCs w:val="0"/>
          <w:color w:val="auto"/>
          <w:sz w:val="24"/>
          <w:szCs w:val="24"/>
          <w:lang w:val="en-US" w:eastAsia="zh-CN"/>
        </w:rPr>
        <w:t>竞标</w:t>
      </w:r>
      <w:r>
        <w:rPr>
          <w:rFonts w:hint="eastAsia" w:ascii="宋体" w:hAnsi="宋体" w:eastAsia="宋体" w:cs="宋体"/>
          <w:b w:val="0"/>
          <w:bCs w:val="0"/>
          <w:color w:val="auto"/>
          <w:sz w:val="24"/>
          <w:szCs w:val="24"/>
        </w:rPr>
        <w:t>的，按一家供应商计算，评审后得分最高的同品牌供应商获得</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人推荐资格；评审得分相同的，由采购人或者采购人委托评标委员会采取随机抽取的方式确定一个供应商获得</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人推荐资格，其他同品牌供应商不作为</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候选人。</w:t>
      </w:r>
    </w:p>
    <w:p>
      <w:pPr>
        <w:bidi w:val="0"/>
        <w:ind w:firstLine="480" w:firstLineChars="200"/>
        <w:rPr>
          <w:rFonts w:hint="eastAsia" w:ascii="宋体" w:hAnsi="宋体" w:eastAsia="宋体" w:cs="宋体"/>
          <w:color w:val="auto"/>
        </w:rPr>
      </w:pPr>
      <w:r>
        <w:rPr>
          <w:rFonts w:hint="eastAsia" w:ascii="宋体" w:hAnsi="宋体" w:eastAsia="宋体" w:cs="宋体"/>
          <w:color w:val="auto"/>
        </w:rPr>
        <w:t>非单一产品采购项目，多家供应商提供的核心产品品牌相同的，按前款规定处理。</w:t>
      </w:r>
    </w:p>
    <w:p>
      <w:pPr>
        <w:pStyle w:val="7"/>
        <w:keepNext w:val="0"/>
        <w:keepLines w:val="0"/>
        <w:snapToGrid w:val="0"/>
        <w:spacing w:before="0" w:after="0" w:line="240" w:lineRule="auto"/>
        <w:ind w:firstLine="420" w:firstLineChars="1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8.2如果本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文件要求供应商提供资格、信誉、荣誉、业绩与企业认证等材料的，则供应商所提供的以上材料必须为供应商所拥有。</w:t>
      </w:r>
    </w:p>
    <w:p>
      <w:pPr>
        <w:pStyle w:val="7"/>
        <w:keepNext w:val="0"/>
        <w:keepLines w:val="0"/>
        <w:snapToGrid w:val="0"/>
        <w:spacing w:before="0" w:after="0" w:line="240" w:lineRule="auto"/>
        <w:ind w:firstLine="420" w:firstLineChars="1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8.3供应商应仔细阅读</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文件的所有内容，按照</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文件的要求提交</w:t>
      </w:r>
      <w:r>
        <w:rPr>
          <w:rFonts w:hint="eastAsia" w:ascii="宋体" w:hAnsi="宋体" w:eastAsia="宋体" w:cs="宋体"/>
          <w:b w:val="0"/>
          <w:bCs w:val="0"/>
          <w:color w:val="auto"/>
          <w:sz w:val="24"/>
          <w:szCs w:val="24"/>
          <w:lang w:val="en-US" w:eastAsia="zh-CN"/>
        </w:rPr>
        <w:t>响应</w:t>
      </w:r>
      <w:r>
        <w:rPr>
          <w:rFonts w:hint="eastAsia" w:ascii="宋体" w:hAnsi="宋体" w:eastAsia="宋体" w:cs="宋体"/>
          <w:b w:val="0"/>
          <w:bCs w:val="0"/>
          <w:color w:val="auto"/>
          <w:sz w:val="24"/>
          <w:szCs w:val="24"/>
        </w:rPr>
        <w:t>文件，并对所提供的全部资料的真实性承担法律责任。</w:t>
      </w:r>
    </w:p>
    <w:p>
      <w:pPr>
        <w:pStyle w:val="7"/>
        <w:keepNext w:val="0"/>
        <w:keepLines w:val="0"/>
        <w:snapToGrid w:val="0"/>
        <w:spacing w:before="0" w:after="0" w:line="240" w:lineRule="auto"/>
        <w:ind w:firstLine="420" w:firstLineChars="1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8.4供应商在</w:t>
      </w:r>
      <w:r>
        <w:rPr>
          <w:rFonts w:hint="eastAsia" w:ascii="宋体" w:hAnsi="宋体" w:eastAsia="宋体" w:cs="宋体"/>
          <w:b w:val="0"/>
          <w:bCs w:val="0"/>
          <w:color w:val="auto"/>
          <w:sz w:val="24"/>
          <w:szCs w:val="24"/>
          <w:lang w:val="en-US" w:eastAsia="zh-CN"/>
        </w:rPr>
        <w:t>竞标</w:t>
      </w:r>
      <w:r>
        <w:rPr>
          <w:rFonts w:hint="eastAsia" w:ascii="宋体" w:hAnsi="宋体" w:eastAsia="宋体" w:cs="宋体"/>
          <w:b w:val="0"/>
          <w:bCs w:val="0"/>
          <w:color w:val="auto"/>
          <w:sz w:val="24"/>
          <w:szCs w:val="24"/>
        </w:rPr>
        <w:t>活动中提供任何虚假材料，将报监管部门查处。</w:t>
      </w:r>
    </w:p>
    <w:p>
      <w:pPr>
        <w:pStyle w:val="7"/>
        <w:keepNext w:val="0"/>
        <w:keepLines w:val="0"/>
        <w:snapToGrid w:val="0"/>
        <w:spacing w:before="0" w:after="0" w:line="240" w:lineRule="auto"/>
        <w:ind w:firstLine="420" w:firstLineChars="1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8.5在政府采购活动中，采购人员及相关人员与供应商有下列利害关系之一的，应当回避：</w:t>
      </w:r>
    </w:p>
    <w:p>
      <w:pPr>
        <w:bidi w:val="0"/>
        <w:ind w:firstLine="480" w:firstLineChars="200"/>
        <w:rPr>
          <w:rFonts w:hint="eastAsia" w:ascii="宋体" w:hAnsi="宋体" w:eastAsia="宋体" w:cs="宋体"/>
          <w:color w:val="auto"/>
        </w:rPr>
      </w:pPr>
      <w:r>
        <w:rPr>
          <w:rFonts w:hint="eastAsia" w:ascii="宋体" w:hAnsi="宋体" w:eastAsia="宋体" w:cs="宋体"/>
          <w:color w:val="auto"/>
        </w:rPr>
        <w:t>（1）参加采购活动前3年内与供应商存在劳动关系；</w:t>
      </w:r>
    </w:p>
    <w:p>
      <w:pPr>
        <w:bidi w:val="0"/>
        <w:ind w:firstLine="480" w:firstLineChars="200"/>
        <w:rPr>
          <w:rFonts w:hint="eastAsia" w:ascii="宋体" w:hAnsi="宋体" w:eastAsia="宋体" w:cs="宋体"/>
          <w:color w:val="auto"/>
        </w:rPr>
      </w:pPr>
      <w:r>
        <w:rPr>
          <w:rFonts w:hint="eastAsia" w:ascii="宋体" w:hAnsi="宋体" w:eastAsia="宋体" w:cs="宋体"/>
          <w:color w:val="auto"/>
        </w:rPr>
        <w:t>（2）参加采购活动前3年内担任供应商的董事、监事；</w:t>
      </w:r>
    </w:p>
    <w:p>
      <w:pPr>
        <w:bidi w:val="0"/>
        <w:ind w:firstLine="480" w:firstLineChars="200"/>
        <w:rPr>
          <w:rFonts w:hint="eastAsia" w:ascii="宋体" w:hAnsi="宋体" w:eastAsia="宋体" w:cs="宋体"/>
          <w:color w:val="auto"/>
        </w:rPr>
      </w:pPr>
      <w:r>
        <w:rPr>
          <w:rFonts w:hint="eastAsia" w:ascii="宋体" w:hAnsi="宋体" w:eastAsia="宋体" w:cs="宋体"/>
          <w:color w:val="auto"/>
        </w:rPr>
        <w:t>（3）参加采购活动前3年内是供应商的控股股东或者实际控制人；</w:t>
      </w:r>
    </w:p>
    <w:p>
      <w:pPr>
        <w:bidi w:val="0"/>
        <w:ind w:firstLine="480" w:firstLineChars="200"/>
        <w:rPr>
          <w:rFonts w:hint="eastAsia" w:ascii="宋体" w:hAnsi="宋体" w:eastAsia="宋体" w:cs="宋体"/>
          <w:color w:val="auto"/>
        </w:rPr>
      </w:pPr>
      <w:r>
        <w:rPr>
          <w:rFonts w:hint="eastAsia" w:ascii="宋体" w:hAnsi="宋体" w:eastAsia="宋体" w:cs="宋体"/>
          <w:color w:val="auto"/>
        </w:rPr>
        <w:t>（4）与供应商的法定代表人或者负责人有夫妻、直系血亲、三代以内旁系血亲或者近姻亲关系；</w:t>
      </w:r>
    </w:p>
    <w:p>
      <w:pPr>
        <w:bidi w:val="0"/>
        <w:ind w:firstLine="480" w:firstLineChars="200"/>
        <w:rPr>
          <w:rFonts w:hint="eastAsia" w:ascii="宋体" w:hAnsi="宋体" w:eastAsia="宋体" w:cs="宋体"/>
          <w:color w:val="auto"/>
        </w:rPr>
      </w:pPr>
      <w:r>
        <w:rPr>
          <w:rFonts w:hint="eastAsia" w:ascii="宋体" w:hAnsi="宋体" w:eastAsia="宋体" w:cs="宋体"/>
          <w:color w:val="auto"/>
        </w:rPr>
        <w:t>（5）与供应商有其他可能影响政府采购活动公平、公正进行的关系。</w:t>
      </w:r>
    </w:p>
    <w:p>
      <w:pPr>
        <w:bidi w:val="0"/>
        <w:rPr>
          <w:rFonts w:hint="eastAsia" w:ascii="宋体" w:hAnsi="宋体" w:eastAsia="宋体" w:cs="宋体"/>
          <w:color w:val="auto"/>
        </w:rPr>
      </w:pPr>
      <w:r>
        <w:rPr>
          <w:rFonts w:hint="eastAsia" w:ascii="宋体" w:hAnsi="宋体" w:eastAsia="宋体"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napToGrid w:val="0"/>
        <w:spacing w:before="0" w:after="0" w:line="240" w:lineRule="auto"/>
        <w:ind w:firstLine="420" w:firstLineChars="1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8.6有下列情形之一的视为</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相互串通</w:t>
      </w:r>
      <w:r>
        <w:rPr>
          <w:rFonts w:hint="eastAsia" w:ascii="宋体" w:hAnsi="宋体" w:eastAsia="宋体" w:cs="宋体"/>
          <w:b w:val="0"/>
          <w:bCs w:val="0"/>
          <w:color w:val="auto"/>
          <w:sz w:val="24"/>
          <w:szCs w:val="24"/>
          <w:lang w:val="en-US" w:eastAsia="zh-CN"/>
        </w:rPr>
        <w:t>竞</w:t>
      </w:r>
      <w:r>
        <w:rPr>
          <w:rFonts w:hint="eastAsia" w:ascii="宋体" w:hAnsi="宋体" w:eastAsia="宋体" w:cs="宋体"/>
          <w:b w:val="0"/>
          <w:bCs w:val="0"/>
          <w:color w:val="auto"/>
          <w:sz w:val="24"/>
          <w:szCs w:val="24"/>
        </w:rPr>
        <w:t>标，</w:t>
      </w:r>
      <w:r>
        <w:rPr>
          <w:rFonts w:hint="eastAsia" w:ascii="宋体" w:hAnsi="宋体" w:eastAsia="宋体" w:cs="宋体"/>
          <w:b w:val="0"/>
          <w:bCs w:val="0"/>
          <w:color w:val="auto"/>
          <w:sz w:val="24"/>
          <w:szCs w:val="24"/>
          <w:lang w:val="en-US" w:eastAsia="zh-CN"/>
        </w:rPr>
        <w:t>响应</w:t>
      </w:r>
      <w:r>
        <w:rPr>
          <w:rFonts w:hint="eastAsia" w:ascii="宋体" w:hAnsi="宋体" w:eastAsia="宋体" w:cs="宋体"/>
          <w:b w:val="0"/>
          <w:bCs w:val="0"/>
          <w:color w:val="auto"/>
          <w:sz w:val="24"/>
          <w:szCs w:val="24"/>
        </w:rPr>
        <w:t>文件将被视为无效：</w:t>
      </w:r>
    </w:p>
    <w:p>
      <w:pPr>
        <w:bidi w:val="0"/>
        <w:ind w:firstLine="480" w:firstLineChars="200"/>
        <w:rPr>
          <w:rFonts w:hint="eastAsia" w:ascii="宋体" w:hAnsi="宋体" w:eastAsia="宋体" w:cs="宋体"/>
          <w:color w:val="auto"/>
          <w:szCs w:val="24"/>
        </w:rPr>
      </w:pPr>
      <w:r>
        <w:rPr>
          <w:rFonts w:hint="eastAsia" w:ascii="宋体" w:hAnsi="宋体" w:eastAsia="宋体" w:cs="宋体"/>
          <w:color w:val="auto"/>
        </w:rPr>
        <w:t>（1）不同供应商的</w:t>
      </w:r>
      <w:r>
        <w:rPr>
          <w:rFonts w:hint="eastAsia" w:ascii="宋体" w:hAnsi="宋体" w:eastAsia="宋体" w:cs="宋体"/>
          <w:color w:val="auto"/>
          <w:lang w:val="en-US" w:eastAsia="zh-CN"/>
        </w:rPr>
        <w:t>响应</w:t>
      </w:r>
      <w:r>
        <w:rPr>
          <w:rFonts w:hint="eastAsia" w:ascii="宋体" w:hAnsi="宋体" w:eastAsia="宋体" w:cs="宋体"/>
          <w:color w:val="auto"/>
        </w:rPr>
        <w:t>文件由同一单位或者个人编制；或者不同供应商报名的IP地址一致的；</w:t>
      </w:r>
    </w:p>
    <w:p>
      <w:pPr>
        <w:bidi w:val="0"/>
        <w:ind w:firstLine="480" w:firstLineChars="200"/>
        <w:rPr>
          <w:rFonts w:hint="eastAsia" w:ascii="宋体" w:hAnsi="宋体" w:eastAsia="宋体" w:cs="宋体"/>
          <w:color w:val="auto"/>
        </w:rPr>
      </w:pPr>
      <w:r>
        <w:rPr>
          <w:rFonts w:hint="eastAsia" w:ascii="宋体" w:hAnsi="宋体" w:eastAsia="宋体" w:cs="宋体"/>
          <w:color w:val="auto"/>
        </w:rPr>
        <w:t>（2）不同供应商委托同一单位或者个人办理</w:t>
      </w:r>
      <w:r>
        <w:rPr>
          <w:rFonts w:hint="eastAsia" w:ascii="宋体" w:hAnsi="宋体" w:eastAsia="宋体" w:cs="宋体"/>
          <w:color w:val="auto"/>
          <w:lang w:val="en-US" w:eastAsia="zh-CN"/>
        </w:rPr>
        <w:t>竞标</w:t>
      </w:r>
      <w:r>
        <w:rPr>
          <w:rFonts w:hint="eastAsia" w:ascii="宋体" w:hAnsi="宋体" w:eastAsia="宋体" w:cs="宋体"/>
          <w:color w:val="auto"/>
        </w:rPr>
        <w:t>事宜；</w:t>
      </w:r>
    </w:p>
    <w:p>
      <w:pPr>
        <w:bidi w:val="0"/>
        <w:ind w:firstLine="480" w:firstLineChars="200"/>
        <w:rPr>
          <w:rFonts w:hint="eastAsia" w:ascii="宋体" w:hAnsi="宋体" w:eastAsia="宋体" w:cs="宋体"/>
          <w:color w:val="auto"/>
        </w:rPr>
      </w:pPr>
      <w:r>
        <w:rPr>
          <w:rFonts w:hint="eastAsia" w:ascii="宋体" w:hAnsi="宋体" w:eastAsia="宋体" w:cs="宋体"/>
          <w:color w:val="auto"/>
        </w:rPr>
        <w:t>（3）不同的供应商的</w:t>
      </w:r>
      <w:r>
        <w:rPr>
          <w:rFonts w:hint="eastAsia" w:ascii="宋体" w:hAnsi="宋体" w:eastAsia="宋体" w:cs="宋体"/>
          <w:color w:val="auto"/>
          <w:lang w:val="en-US" w:eastAsia="zh-CN"/>
        </w:rPr>
        <w:t>响应</w:t>
      </w:r>
      <w:r>
        <w:rPr>
          <w:rFonts w:hint="eastAsia" w:ascii="宋体" w:hAnsi="宋体" w:eastAsia="宋体" w:cs="宋体"/>
          <w:color w:val="auto"/>
        </w:rPr>
        <w:t>文件载明的项目管理员为同一个人；</w:t>
      </w:r>
    </w:p>
    <w:p>
      <w:pPr>
        <w:bidi w:val="0"/>
        <w:ind w:firstLine="480" w:firstLineChars="200"/>
        <w:rPr>
          <w:rFonts w:hint="eastAsia" w:ascii="宋体" w:hAnsi="宋体" w:eastAsia="宋体" w:cs="宋体"/>
          <w:color w:val="auto"/>
        </w:rPr>
      </w:pPr>
      <w:r>
        <w:rPr>
          <w:rFonts w:hint="eastAsia" w:ascii="宋体" w:hAnsi="宋体" w:eastAsia="宋体" w:cs="宋体"/>
          <w:color w:val="auto"/>
        </w:rPr>
        <w:t>（4）不同供应商的</w:t>
      </w:r>
      <w:r>
        <w:rPr>
          <w:rFonts w:hint="eastAsia" w:ascii="宋体" w:hAnsi="宋体" w:eastAsia="宋体" w:cs="宋体"/>
          <w:color w:val="auto"/>
          <w:lang w:val="en-US" w:eastAsia="zh-CN"/>
        </w:rPr>
        <w:t>响应</w:t>
      </w:r>
      <w:r>
        <w:rPr>
          <w:rFonts w:hint="eastAsia" w:ascii="宋体" w:hAnsi="宋体" w:eastAsia="宋体" w:cs="宋体"/>
          <w:color w:val="auto"/>
        </w:rPr>
        <w:t>文件异常一致或者</w:t>
      </w:r>
      <w:r>
        <w:rPr>
          <w:rFonts w:hint="eastAsia" w:ascii="宋体" w:hAnsi="宋体" w:eastAsia="宋体" w:cs="宋体"/>
          <w:color w:val="auto"/>
          <w:lang w:val="en-US" w:eastAsia="zh-CN"/>
        </w:rPr>
        <w:t>响应</w:t>
      </w:r>
      <w:r>
        <w:rPr>
          <w:rFonts w:hint="eastAsia" w:ascii="宋体" w:hAnsi="宋体" w:eastAsia="宋体" w:cs="宋体"/>
          <w:color w:val="auto"/>
        </w:rPr>
        <w:t>报价呈规律性差异；</w:t>
      </w:r>
    </w:p>
    <w:p>
      <w:pPr>
        <w:bidi w:val="0"/>
        <w:ind w:firstLine="480" w:firstLineChars="200"/>
        <w:rPr>
          <w:rFonts w:hint="eastAsia" w:ascii="宋体" w:hAnsi="宋体" w:eastAsia="宋体" w:cs="宋体"/>
          <w:color w:val="auto"/>
        </w:rPr>
      </w:pPr>
      <w:r>
        <w:rPr>
          <w:rFonts w:hint="eastAsia" w:ascii="宋体" w:hAnsi="宋体" w:eastAsia="宋体" w:cs="宋体"/>
          <w:color w:val="auto"/>
        </w:rPr>
        <w:t>（5）不同供应商的</w:t>
      </w:r>
      <w:r>
        <w:rPr>
          <w:rFonts w:hint="eastAsia" w:ascii="宋体" w:hAnsi="宋体" w:eastAsia="宋体" w:cs="宋体"/>
          <w:color w:val="auto"/>
          <w:lang w:val="en-US" w:eastAsia="zh-CN"/>
        </w:rPr>
        <w:t>响应</w:t>
      </w:r>
      <w:r>
        <w:rPr>
          <w:rFonts w:hint="eastAsia" w:ascii="宋体" w:hAnsi="宋体" w:eastAsia="宋体" w:cs="宋体"/>
          <w:color w:val="auto"/>
        </w:rPr>
        <w:t>文件相互混装；</w:t>
      </w:r>
    </w:p>
    <w:p>
      <w:pPr>
        <w:bidi w:val="0"/>
        <w:ind w:firstLine="480" w:firstLineChars="200"/>
        <w:rPr>
          <w:rFonts w:hint="eastAsia" w:ascii="宋体" w:hAnsi="宋体" w:eastAsia="宋体" w:cs="宋体"/>
          <w:color w:val="auto"/>
          <w:szCs w:val="24"/>
        </w:rPr>
      </w:pPr>
      <w:r>
        <w:rPr>
          <w:rFonts w:hint="eastAsia" w:ascii="宋体" w:hAnsi="宋体" w:eastAsia="宋体" w:cs="宋体"/>
          <w:color w:val="auto"/>
        </w:rPr>
        <w:t>（6）不同供应商的</w:t>
      </w:r>
      <w:r>
        <w:rPr>
          <w:rFonts w:hint="eastAsia" w:ascii="宋体" w:hAnsi="宋体" w:eastAsia="宋体" w:cs="宋体"/>
          <w:color w:val="auto"/>
          <w:lang w:val="en-US" w:eastAsia="zh-CN"/>
        </w:rPr>
        <w:t>磋商</w:t>
      </w:r>
      <w:r>
        <w:rPr>
          <w:rFonts w:hint="eastAsia" w:ascii="宋体" w:hAnsi="宋体" w:eastAsia="宋体" w:cs="宋体"/>
          <w:color w:val="auto"/>
        </w:rPr>
        <w:t>保证金从同一单位或者个人账户转出。</w:t>
      </w:r>
    </w:p>
    <w:p>
      <w:pPr>
        <w:pStyle w:val="7"/>
        <w:keepNext w:val="0"/>
        <w:keepLines w:val="0"/>
        <w:snapToGrid w:val="0"/>
        <w:spacing w:before="0" w:after="0" w:line="240" w:lineRule="auto"/>
        <w:ind w:firstLine="420" w:firstLineChars="1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8.7供应商有下列情形之一的，属于恶意串通行为，将报同级监督管理部门：</w:t>
      </w:r>
    </w:p>
    <w:p>
      <w:pPr>
        <w:bidi w:val="0"/>
        <w:ind w:firstLine="480" w:firstLineChars="200"/>
        <w:rPr>
          <w:rFonts w:hint="eastAsia" w:ascii="宋体" w:hAnsi="宋体" w:eastAsia="宋体" w:cs="宋体"/>
          <w:color w:val="auto"/>
        </w:rPr>
      </w:pPr>
      <w:r>
        <w:rPr>
          <w:rFonts w:hint="eastAsia" w:ascii="宋体" w:hAnsi="宋体" w:eastAsia="宋体" w:cs="宋体"/>
          <w:color w:val="auto"/>
        </w:rPr>
        <w:t>（1）供应商直接或者间接从采购人或者采购代理机构处获得其他供应商的相关信息并修改其投标文件或者响应文件；</w:t>
      </w:r>
    </w:p>
    <w:p>
      <w:pPr>
        <w:bidi w:val="0"/>
        <w:ind w:firstLine="480" w:firstLineChars="200"/>
        <w:rPr>
          <w:rFonts w:hint="eastAsia" w:ascii="宋体" w:hAnsi="宋体" w:eastAsia="宋体" w:cs="宋体"/>
          <w:color w:val="auto"/>
        </w:rPr>
      </w:pPr>
      <w:r>
        <w:rPr>
          <w:rFonts w:hint="eastAsia" w:ascii="宋体" w:hAnsi="宋体" w:eastAsia="宋体" w:cs="宋体"/>
          <w:color w:val="auto"/>
        </w:rPr>
        <w:t>（2）供应商按照采购人或者采购代理机构的授意撤换、修改投标文件或者响应文件；</w:t>
      </w:r>
    </w:p>
    <w:p>
      <w:pPr>
        <w:bidi w:val="0"/>
        <w:ind w:firstLine="480" w:firstLineChars="200"/>
        <w:rPr>
          <w:rFonts w:hint="eastAsia" w:ascii="宋体" w:hAnsi="宋体" w:eastAsia="宋体" w:cs="宋体"/>
          <w:color w:val="auto"/>
        </w:rPr>
      </w:pPr>
      <w:r>
        <w:rPr>
          <w:rFonts w:hint="eastAsia" w:ascii="宋体" w:hAnsi="宋体" w:eastAsia="宋体" w:cs="宋体"/>
          <w:color w:val="auto"/>
        </w:rPr>
        <w:t>（3）供应商之间协商报价、技术方案等投标文件或者响应文件的实质性内容；</w:t>
      </w:r>
    </w:p>
    <w:p>
      <w:pPr>
        <w:bidi w:val="0"/>
        <w:ind w:firstLine="480" w:firstLineChars="200"/>
        <w:rPr>
          <w:rFonts w:hint="eastAsia" w:ascii="宋体" w:hAnsi="宋体" w:eastAsia="宋体" w:cs="宋体"/>
          <w:color w:val="auto"/>
        </w:rPr>
      </w:pPr>
      <w:r>
        <w:rPr>
          <w:rFonts w:hint="eastAsia" w:ascii="宋体" w:hAnsi="宋体" w:eastAsia="宋体" w:cs="宋体"/>
          <w:color w:val="auto"/>
        </w:rPr>
        <w:t>（4）属于同一集团、协会、商会等组织成员的供应商按照该组织要求协同参加政府采购活动；</w:t>
      </w:r>
    </w:p>
    <w:p>
      <w:pPr>
        <w:bidi w:val="0"/>
        <w:ind w:firstLine="480" w:firstLineChars="200"/>
        <w:rPr>
          <w:rFonts w:hint="eastAsia" w:ascii="宋体" w:hAnsi="宋体" w:eastAsia="宋体" w:cs="宋体"/>
          <w:color w:val="auto"/>
        </w:rPr>
      </w:pPr>
      <w:r>
        <w:rPr>
          <w:rFonts w:hint="eastAsia" w:ascii="宋体" w:hAnsi="宋体" w:eastAsia="宋体" w:cs="宋体"/>
          <w:color w:val="auto"/>
        </w:rPr>
        <w:t>（5）供应商之间事先约定一致抬高或者压低</w:t>
      </w:r>
      <w:r>
        <w:rPr>
          <w:rFonts w:hint="eastAsia" w:ascii="宋体" w:hAnsi="宋体" w:eastAsia="宋体" w:cs="宋体"/>
          <w:color w:val="auto"/>
          <w:lang w:val="en-US" w:eastAsia="zh-CN"/>
        </w:rPr>
        <w:t>响应</w:t>
      </w:r>
      <w:r>
        <w:rPr>
          <w:rFonts w:hint="eastAsia" w:ascii="宋体" w:hAnsi="宋体" w:eastAsia="宋体" w:cs="宋体"/>
          <w:color w:val="auto"/>
        </w:rPr>
        <w:t>报价，或者在</w:t>
      </w:r>
      <w:r>
        <w:rPr>
          <w:rFonts w:hint="eastAsia" w:ascii="宋体" w:hAnsi="宋体" w:eastAsia="宋体" w:cs="宋体"/>
          <w:color w:val="auto"/>
          <w:lang w:val="en-US" w:eastAsia="zh-CN"/>
        </w:rPr>
        <w:t>采购</w:t>
      </w:r>
      <w:r>
        <w:rPr>
          <w:rFonts w:hint="eastAsia" w:ascii="宋体" w:hAnsi="宋体" w:eastAsia="宋体" w:cs="宋体"/>
          <w:color w:val="auto"/>
        </w:rPr>
        <w:t>项目中事先约定轮流以高价位或者低价位</w:t>
      </w:r>
      <w:r>
        <w:rPr>
          <w:rFonts w:hint="eastAsia" w:ascii="宋体" w:hAnsi="宋体" w:eastAsia="宋体" w:cs="宋体"/>
          <w:color w:val="auto"/>
          <w:lang w:val="en-US" w:eastAsia="zh-CN"/>
        </w:rPr>
        <w:t>成交</w:t>
      </w:r>
      <w:r>
        <w:rPr>
          <w:rFonts w:hint="eastAsia" w:ascii="宋体" w:hAnsi="宋体" w:eastAsia="宋体" w:cs="宋体"/>
          <w:color w:val="auto"/>
        </w:rPr>
        <w:t>，或者事先约定由某一特定供应商</w:t>
      </w:r>
      <w:r>
        <w:rPr>
          <w:rFonts w:hint="eastAsia" w:ascii="宋体" w:hAnsi="宋体" w:eastAsia="宋体" w:cs="宋体"/>
          <w:color w:val="auto"/>
          <w:lang w:val="en-US" w:eastAsia="zh-CN"/>
        </w:rPr>
        <w:t>成交</w:t>
      </w:r>
      <w:r>
        <w:rPr>
          <w:rFonts w:hint="eastAsia" w:ascii="宋体" w:hAnsi="宋体" w:eastAsia="宋体" w:cs="宋体"/>
          <w:color w:val="auto"/>
        </w:rPr>
        <w:t>，然后再参加</w:t>
      </w:r>
      <w:r>
        <w:rPr>
          <w:rFonts w:hint="eastAsia" w:ascii="宋体" w:hAnsi="宋体" w:eastAsia="宋体" w:cs="宋体"/>
          <w:color w:val="auto"/>
          <w:lang w:val="en-US" w:eastAsia="zh-CN"/>
        </w:rPr>
        <w:t>竞标</w:t>
      </w:r>
      <w:r>
        <w:rPr>
          <w:rFonts w:hint="eastAsia" w:ascii="宋体" w:hAnsi="宋体" w:eastAsia="宋体" w:cs="宋体"/>
          <w:color w:val="auto"/>
        </w:rPr>
        <w:t>；</w:t>
      </w:r>
    </w:p>
    <w:p>
      <w:pPr>
        <w:bidi w:val="0"/>
        <w:ind w:firstLine="480" w:firstLineChars="200"/>
        <w:rPr>
          <w:rFonts w:hint="eastAsia" w:ascii="宋体" w:hAnsi="宋体" w:eastAsia="宋体" w:cs="宋体"/>
          <w:color w:val="auto"/>
        </w:rPr>
      </w:pPr>
      <w:r>
        <w:rPr>
          <w:rFonts w:hint="eastAsia" w:ascii="宋体" w:hAnsi="宋体" w:eastAsia="宋体" w:cs="宋体"/>
          <w:color w:val="auto"/>
        </w:rPr>
        <w:t>（6）供应商之间商定部分供应商放弃参加政府采购活动或者放弃</w:t>
      </w:r>
      <w:r>
        <w:rPr>
          <w:rFonts w:hint="eastAsia" w:ascii="宋体" w:hAnsi="宋体" w:eastAsia="宋体" w:cs="宋体"/>
          <w:color w:val="auto"/>
          <w:lang w:val="en-US" w:eastAsia="zh-CN"/>
        </w:rPr>
        <w:t>成交</w:t>
      </w:r>
      <w:r>
        <w:rPr>
          <w:rFonts w:hint="eastAsia" w:ascii="宋体" w:hAnsi="宋体" w:eastAsia="宋体" w:cs="宋体"/>
          <w:color w:val="auto"/>
        </w:rPr>
        <w:t>；</w:t>
      </w:r>
    </w:p>
    <w:p>
      <w:pPr>
        <w:bidi w:val="0"/>
        <w:ind w:firstLine="480" w:firstLineChars="200"/>
        <w:rPr>
          <w:rFonts w:hint="eastAsia" w:ascii="宋体" w:hAnsi="宋体" w:eastAsia="宋体" w:cs="宋体"/>
          <w:color w:val="auto"/>
        </w:rPr>
      </w:pPr>
      <w:bookmarkStart w:id="26" w:name="_Toc12015"/>
      <w:bookmarkStart w:id="27" w:name="_Toc13781"/>
      <w:bookmarkStart w:id="28" w:name="_Toc8354"/>
      <w:r>
        <w:rPr>
          <w:rFonts w:hint="eastAsia" w:ascii="宋体" w:hAnsi="宋体" w:eastAsia="宋体" w:cs="宋体"/>
          <w:color w:val="auto"/>
        </w:rPr>
        <w:t>（7）供应商与采购人或者采购代理机构之间、供应商相互之间，为谋求特定供应商</w:t>
      </w:r>
      <w:r>
        <w:rPr>
          <w:rFonts w:hint="eastAsia" w:ascii="宋体" w:hAnsi="宋体" w:eastAsia="宋体" w:cs="宋体"/>
          <w:color w:val="auto"/>
          <w:lang w:val="en-US" w:eastAsia="zh-CN"/>
        </w:rPr>
        <w:t>成交</w:t>
      </w:r>
      <w:r>
        <w:rPr>
          <w:rFonts w:hint="eastAsia" w:ascii="宋体" w:hAnsi="宋体" w:eastAsia="宋体" w:cs="宋体"/>
          <w:color w:val="auto"/>
        </w:rPr>
        <w:t>或者排斥其他供应商的其他串通行为。</w:t>
      </w:r>
      <w:bookmarkEnd w:id="26"/>
      <w:bookmarkEnd w:id="27"/>
      <w:bookmarkEnd w:id="28"/>
    </w:p>
    <w:p>
      <w:pPr>
        <w:tabs>
          <w:tab w:val="left" w:pos="2190"/>
        </w:tabs>
        <w:spacing w:line="240" w:lineRule="auto"/>
        <w:ind w:firstLine="422" w:firstLineChars="175"/>
        <w:jc w:val="center"/>
        <w:outlineLvl w:val="1"/>
        <w:rPr>
          <w:rFonts w:hint="eastAsia" w:ascii="宋体" w:hAnsi="宋体" w:eastAsia="宋体" w:cs="宋体"/>
          <w:b/>
          <w:color w:val="auto"/>
          <w:sz w:val="24"/>
          <w:szCs w:val="24"/>
        </w:rPr>
      </w:pPr>
      <w:bookmarkStart w:id="29" w:name="_Toc32299"/>
      <w:bookmarkStart w:id="30" w:name="_Toc5359"/>
      <w:r>
        <w:rPr>
          <w:rFonts w:hint="eastAsia" w:ascii="宋体" w:hAnsi="宋体" w:eastAsia="宋体" w:cs="宋体"/>
          <w:b/>
          <w:color w:val="auto"/>
          <w:sz w:val="24"/>
          <w:szCs w:val="24"/>
        </w:rPr>
        <w:t>二、磋商文件</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9"/>
      <w:bookmarkEnd w:id="30"/>
    </w:p>
    <w:p>
      <w:pPr>
        <w:tabs>
          <w:tab w:val="left" w:pos="2190"/>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9.磋商文件的构成</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（1）竞争性磋商公告；</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（3）项目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需求；</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（4）评审程序、评审方法和评审标准；</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（5）合同条款及格式；</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（6）响应文件格式；</w:t>
      </w:r>
    </w:p>
    <w:p>
      <w:pPr>
        <w:tabs>
          <w:tab w:val="left" w:pos="2190"/>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10.磋商文件的澄清与修改</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10.1 采购代理机构对已发出的磋商文件进行必要澄清、答复、修改或补充的，应当在响应文件递交截止时间5日前在本项目竞争性磋商公告发布的同一媒体上发布更正公告，并以书面形式通知所有的磋商文件收受人，不足5日的，应当顺延提交首次响应文件截止时间。</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10.2 澄清、答复、修改、补充的内容为磋商文件的组成部分。当澄清、答复、修改、补充通知就同一内容的表述不一致时，以最后发出的书面文件为准。</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10.3 磋商文件的澄清、答复、修改或补充都应该通过本项目采购代理机构以法定形式发布，采购人非通过本机构，不得擅自澄清、答复、修改或补充磋商文件。</w:t>
      </w:r>
    </w:p>
    <w:p>
      <w:pPr>
        <w:tabs>
          <w:tab w:val="left" w:pos="2190"/>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10.4 采购代理机构可以视采购具体情况，延长响应文件递交截止时间和磋商时间，并将变更时间书面通知所有购买磋商文件收受人，在本项目竞争性磋商公告发布的同一媒体上发布变更公告。</w:t>
      </w:r>
    </w:p>
    <w:p>
      <w:pPr>
        <w:tabs>
          <w:tab w:val="left" w:pos="2190"/>
        </w:tabs>
        <w:spacing w:line="240" w:lineRule="auto"/>
        <w:ind w:firstLine="422" w:firstLineChars="175"/>
        <w:outlineLvl w:val="1"/>
        <w:rPr>
          <w:rFonts w:hint="eastAsia" w:ascii="宋体" w:hAnsi="宋体" w:eastAsia="宋体" w:cs="宋体"/>
          <w:b/>
          <w:color w:val="auto"/>
          <w:sz w:val="24"/>
          <w:szCs w:val="24"/>
        </w:rPr>
      </w:pPr>
      <w:bookmarkStart w:id="31" w:name="_Toc22816"/>
      <w:bookmarkStart w:id="32" w:name="_Toc9873"/>
      <w:bookmarkStart w:id="33" w:name="_Toc3935"/>
      <w:bookmarkStart w:id="34" w:name="_Toc8181"/>
      <w:bookmarkStart w:id="35" w:name="_Toc16033"/>
      <w:bookmarkStart w:id="36" w:name="_Toc31284"/>
      <w:bookmarkStart w:id="37" w:name="_Toc25709"/>
      <w:bookmarkStart w:id="38" w:name="_Toc12057"/>
      <w:bookmarkStart w:id="39" w:name="_Toc24671"/>
      <w:bookmarkStart w:id="40" w:name="_Toc18541"/>
      <w:bookmarkStart w:id="41" w:name="_Toc11205"/>
      <w:bookmarkStart w:id="42" w:name="_Toc452364066"/>
      <w:bookmarkStart w:id="43" w:name="_Toc13891"/>
      <w:bookmarkStart w:id="44" w:name="_Toc24922"/>
      <w:bookmarkStart w:id="45" w:name="_Toc13108"/>
      <w:bookmarkStart w:id="46" w:name="_Toc13656"/>
      <w:r>
        <w:rPr>
          <w:rFonts w:hint="eastAsia" w:ascii="宋体" w:hAnsi="宋体" w:eastAsia="宋体" w:cs="宋体"/>
          <w:b/>
          <w:color w:val="auto"/>
          <w:sz w:val="24"/>
          <w:szCs w:val="24"/>
        </w:rPr>
        <w:t>三、竞争性磋商响应文件的编制</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tabs>
          <w:tab w:val="left" w:pos="2190"/>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11.竞争性磋商响应文件（以下简称响应文件）的组成及要求</w:t>
      </w:r>
    </w:p>
    <w:p>
      <w:pPr>
        <w:snapToGrid w:val="0"/>
        <w:spacing w:line="240" w:lineRule="auto"/>
        <w:ind w:firstLine="422" w:firstLineChars="175"/>
        <w:jc w:val="left"/>
        <w:rPr>
          <w:rFonts w:hint="eastAsia" w:ascii="宋体" w:hAnsi="宋体" w:eastAsia="宋体" w:cs="宋体"/>
          <w:b/>
          <w:color w:val="auto"/>
          <w:sz w:val="24"/>
          <w:szCs w:val="24"/>
        </w:rPr>
      </w:pPr>
      <w:r>
        <w:rPr>
          <w:rFonts w:hint="eastAsia" w:ascii="宋体" w:hAnsi="宋体" w:eastAsia="宋体" w:cs="宋体"/>
          <w:b/>
          <w:color w:val="auto"/>
          <w:sz w:val="24"/>
          <w:szCs w:val="24"/>
        </w:rPr>
        <w:t>响应文件组成【格式见第六章“响应文件格式”，要求“必须提供”的内容必须在响应文件中提交，且要求“</w:t>
      </w:r>
      <w:r>
        <w:rPr>
          <w:rFonts w:hint="eastAsia" w:ascii="宋体" w:hAnsi="宋体" w:eastAsia="宋体" w:cs="宋体"/>
          <w:b/>
          <w:bCs/>
          <w:color w:val="auto"/>
          <w:sz w:val="24"/>
          <w:szCs w:val="24"/>
        </w:rPr>
        <w:t>法定代表人（负责人</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自然人）或委托代理人签字</w:t>
      </w:r>
      <w:r>
        <w:rPr>
          <w:rFonts w:hint="eastAsia" w:ascii="宋体" w:hAnsi="宋体" w:eastAsia="宋体" w:cs="宋体"/>
          <w:b/>
          <w:color w:val="auto"/>
          <w:sz w:val="24"/>
          <w:szCs w:val="24"/>
        </w:rPr>
        <w:t>”的必须在相应位置签字，否则竞标无效。同时请在提供的材料上加盖供应商CA电子签章。】响应文件由资格证明文件、商务报价文件、技术文件组成。</w:t>
      </w:r>
    </w:p>
    <w:p>
      <w:pPr>
        <w:tabs>
          <w:tab w:val="left" w:pos="3870"/>
          <w:tab w:val="left" w:pos="4085"/>
        </w:tabs>
        <w:snapToGrid w:val="0"/>
        <w:spacing w:line="240" w:lineRule="auto"/>
        <w:ind w:firstLine="422" w:firstLineChars="175"/>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11.1资格证明文件 </w:t>
      </w:r>
    </w:p>
    <w:p>
      <w:pPr>
        <w:tabs>
          <w:tab w:val="left" w:pos="3870"/>
          <w:tab w:val="left" w:pos="4085"/>
        </w:tabs>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（1）磋商声明书</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必须提供，</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标时，联合体各方均须提供，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spacing w:line="240" w:lineRule="auto"/>
        <w:ind w:firstLine="420" w:firstLineChars="175"/>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（2）有效的营业执照副本复印件</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必须提供，</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标时，联合体各方均须提供，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tabs>
          <w:tab w:val="left" w:pos="3870"/>
          <w:tab w:val="left" w:pos="4085"/>
        </w:tabs>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（3）政府采购供应商资格信用承诺函</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必须提供，</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标时，联合体各方均须提供，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tabs>
          <w:tab w:val="left" w:pos="3870"/>
          <w:tab w:val="left" w:pos="4085"/>
        </w:tabs>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（4）供应商控股及管理关系情况申报表</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必须提供，</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标时，联合体各方均须提供，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tabs>
          <w:tab w:val="left" w:pos="3870"/>
          <w:tab w:val="left" w:pos="4085"/>
        </w:tabs>
        <w:snapToGrid w:val="0"/>
        <w:spacing w:line="240" w:lineRule="auto"/>
        <w:ind w:firstLine="420" w:firstLineChars="175"/>
        <w:jc w:val="lef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（5）供应商如为分支机构</w:t>
      </w:r>
      <w:r>
        <w:rPr>
          <w:rFonts w:hint="eastAsia" w:ascii="宋体" w:hAnsi="宋体" w:eastAsia="宋体" w:cs="宋体"/>
          <w:color w:val="auto"/>
          <w:sz w:val="24"/>
          <w:szCs w:val="24"/>
          <w:u w:val="none"/>
          <w:lang w:val="en-US" w:eastAsia="zh-CN"/>
        </w:rPr>
        <w:t>竞</w:t>
      </w:r>
      <w:r>
        <w:rPr>
          <w:rFonts w:hint="eastAsia" w:ascii="宋体" w:hAnsi="宋体" w:eastAsia="宋体" w:cs="宋体"/>
          <w:color w:val="auto"/>
          <w:sz w:val="24"/>
          <w:szCs w:val="24"/>
          <w:u w:val="none"/>
        </w:rPr>
        <w:t>标的，须提供其总公司“营业执照”副本复印件和总公司对供应商的授权书复印件（如有，请提供）</w:t>
      </w:r>
      <w:r>
        <w:rPr>
          <w:rFonts w:hint="eastAsia" w:ascii="宋体" w:hAnsi="宋体" w:eastAsia="宋体" w:cs="宋体"/>
          <w:color w:val="auto"/>
          <w:sz w:val="24"/>
          <w:szCs w:val="24"/>
          <w:u w:val="none"/>
          <w:lang w:eastAsia="zh-CN"/>
        </w:rPr>
        <w:t>；</w:t>
      </w:r>
    </w:p>
    <w:p>
      <w:pPr>
        <w:snapToGrid w:val="0"/>
        <w:spacing w:line="240" w:lineRule="auto"/>
        <w:ind w:firstLine="470" w:firstLineChars="196"/>
        <w:jc w:val="left"/>
        <w:rPr>
          <w:rFonts w:hint="eastAsia" w:ascii="宋体" w:hAnsi="宋体" w:eastAsia="宋体" w:cs="宋体"/>
          <w:b/>
          <w:color w:val="auto"/>
          <w:sz w:val="24"/>
          <w:szCs w:val="24"/>
        </w:rPr>
      </w:pPr>
      <w:r>
        <w:rPr>
          <w:rFonts w:hint="eastAsia" w:ascii="宋体" w:hAnsi="宋体" w:eastAsia="宋体" w:cs="宋体"/>
          <w:color w:val="auto"/>
          <w:sz w:val="24"/>
          <w:szCs w:val="24"/>
          <w:u w:val="none"/>
        </w:rPr>
        <w:t>（6）《联合</w:t>
      </w:r>
      <w:r>
        <w:rPr>
          <w:rFonts w:hint="eastAsia" w:ascii="宋体" w:hAnsi="宋体" w:eastAsia="宋体" w:cs="宋体"/>
          <w:color w:val="auto"/>
          <w:sz w:val="24"/>
          <w:szCs w:val="24"/>
          <w:u w:val="none"/>
          <w:lang w:val="en-US" w:eastAsia="zh-CN"/>
        </w:rPr>
        <w:t>竞</w:t>
      </w:r>
      <w:r>
        <w:rPr>
          <w:rFonts w:hint="eastAsia" w:ascii="宋体" w:hAnsi="宋体" w:eastAsia="宋体" w:cs="宋体"/>
          <w:color w:val="auto"/>
          <w:sz w:val="24"/>
          <w:szCs w:val="24"/>
          <w:u w:val="none"/>
        </w:rPr>
        <w:t>标协议书》（按第六章要求格式填写）</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标时必须提供，</w:t>
      </w:r>
      <w:r>
        <w:rPr>
          <w:rFonts w:hint="eastAsia" w:ascii="宋体" w:hAnsi="宋体" w:eastAsia="宋体" w:cs="宋体"/>
          <w:color w:val="auto"/>
          <w:sz w:val="24"/>
          <w:szCs w:val="24"/>
          <w:u w:val="none"/>
        </w:rPr>
        <w:t>非联合体</w:t>
      </w:r>
      <w:r>
        <w:rPr>
          <w:rFonts w:hint="eastAsia" w:ascii="宋体" w:hAnsi="宋体" w:eastAsia="宋体" w:cs="宋体"/>
          <w:color w:val="auto"/>
          <w:sz w:val="24"/>
          <w:szCs w:val="24"/>
          <w:u w:val="none"/>
          <w:lang w:val="en-US" w:eastAsia="zh-CN"/>
        </w:rPr>
        <w:t>竞</w:t>
      </w:r>
      <w:r>
        <w:rPr>
          <w:rFonts w:hint="eastAsia" w:ascii="宋体" w:hAnsi="宋体" w:eastAsia="宋体" w:cs="宋体"/>
          <w:color w:val="auto"/>
          <w:sz w:val="24"/>
          <w:szCs w:val="24"/>
          <w:u w:val="none"/>
        </w:rPr>
        <w:t>标的无须提供）。</w:t>
      </w:r>
    </w:p>
    <w:p>
      <w:pPr>
        <w:snapToGrid w:val="0"/>
        <w:spacing w:line="240" w:lineRule="auto"/>
        <w:ind w:firstLine="422" w:firstLineChars="175"/>
        <w:jc w:val="left"/>
        <w:rPr>
          <w:rFonts w:hint="eastAsia" w:ascii="宋体" w:hAnsi="宋体" w:eastAsia="宋体" w:cs="宋体"/>
          <w:b/>
          <w:color w:val="auto"/>
          <w:sz w:val="24"/>
          <w:szCs w:val="24"/>
        </w:rPr>
      </w:pPr>
      <w:r>
        <w:rPr>
          <w:rFonts w:hint="eastAsia" w:ascii="宋体" w:hAnsi="宋体" w:eastAsia="宋体" w:cs="宋体"/>
          <w:b/>
          <w:color w:val="auto"/>
          <w:sz w:val="24"/>
          <w:szCs w:val="24"/>
        </w:rPr>
        <w:t>11.2商务报价文件</w:t>
      </w:r>
    </w:p>
    <w:p>
      <w:pPr>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（1）磋商函</w:t>
      </w:r>
      <w:r>
        <w:rPr>
          <w:rFonts w:hint="eastAsia" w:ascii="宋体" w:hAnsi="宋体" w:eastAsia="宋体" w:cs="宋体"/>
          <w:b/>
          <w:bCs/>
          <w:color w:val="auto"/>
          <w:sz w:val="24"/>
          <w:szCs w:val="24"/>
          <w:u w:val="none"/>
        </w:rPr>
        <w:t>（必须提供，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w:t>
      </w:r>
      <w:r>
        <w:rPr>
          <w:rFonts w:hint="eastAsia" w:ascii="宋体" w:hAnsi="宋体" w:cs="宋体"/>
          <w:color w:val="auto"/>
          <w:sz w:val="24"/>
          <w:szCs w:val="24"/>
          <w:u w:val="none"/>
          <w:lang w:val="en-US" w:eastAsia="zh-CN"/>
        </w:rPr>
        <w:t>响应</w:t>
      </w:r>
      <w:r>
        <w:rPr>
          <w:rFonts w:hint="eastAsia" w:ascii="宋体" w:hAnsi="宋体" w:eastAsia="宋体" w:cs="宋体"/>
          <w:color w:val="auto"/>
          <w:sz w:val="24"/>
          <w:szCs w:val="24"/>
          <w:u w:val="none"/>
        </w:rPr>
        <w:t>报价表</w:t>
      </w:r>
      <w:r>
        <w:rPr>
          <w:rFonts w:hint="eastAsia" w:ascii="宋体" w:hAnsi="宋体" w:eastAsia="宋体" w:cs="宋体"/>
          <w:b/>
          <w:bCs/>
          <w:color w:val="auto"/>
          <w:sz w:val="24"/>
          <w:szCs w:val="24"/>
          <w:u w:val="none"/>
        </w:rPr>
        <w:t>（必须提供，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（3）无串通竞标行为的承诺函（按第六章要求格式填写）</w:t>
      </w:r>
      <w:r>
        <w:rPr>
          <w:rFonts w:hint="eastAsia" w:ascii="宋体" w:hAnsi="宋体" w:eastAsia="宋体" w:cs="宋体"/>
          <w:bCs/>
          <w:color w:val="auto"/>
          <w:sz w:val="24"/>
          <w:szCs w:val="24"/>
          <w:u w:val="none"/>
        </w:rPr>
        <w:t>；</w:t>
      </w:r>
      <w:r>
        <w:rPr>
          <w:rFonts w:hint="eastAsia" w:ascii="宋体" w:hAnsi="宋体" w:eastAsia="宋体" w:cs="宋体"/>
          <w:b/>
          <w:color w:val="auto"/>
          <w:sz w:val="24"/>
          <w:szCs w:val="24"/>
          <w:u w:val="none"/>
        </w:rPr>
        <w:t>（必须提供，</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标时，联合体各方均须提供，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color w:val="auto"/>
          <w:sz w:val="24"/>
          <w:szCs w:val="24"/>
          <w:u w:val="none"/>
        </w:rPr>
        <w:t>；</w:t>
      </w:r>
    </w:p>
    <w:p>
      <w:pPr>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（4）法定代表人身份证明及法定代表人有效身份证正反面复印件（按第六章要求格式填写）；（</w:t>
      </w:r>
      <w:r>
        <w:rPr>
          <w:rFonts w:hint="eastAsia" w:ascii="宋体" w:hAnsi="宋体" w:eastAsia="宋体" w:cs="宋体"/>
          <w:b/>
          <w:bCs/>
          <w:color w:val="auto"/>
          <w:sz w:val="24"/>
          <w:szCs w:val="24"/>
          <w:u w:val="none"/>
        </w:rPr>
        <w:t>除自然人</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标外</w:t>
      </w:r>
      <w:r>
        <w:rPr>
          <w:rFonts w:hint="eastAsia" w:ascii="宋体" w:hAnsi="宋体" w:eastAsia="宋体" w:cs="宋体"/>
          <w:b/>
          <w:color w:val="auto"/>
          <w:sz w:val="24"/>
          <w:szCs w:val="24"/>
          <w:u w:val="none"/>
        </w:rPr>
        <w:t>必须提供，</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标时，联合体牵头人提供，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color w:val="auto"/>
          <w:sz w:val="24"/>
          <w:szCs w:val="24"/>
          <w:u w:val="none"/>
        </w:rPr>
        <w:t>）；</w:t>
      </w:r>
    </w:p>
    <w:p>
      <w:pPr>
        <w:tabs>
          <w:tab w:val="left" w:pos="3870"/>
          <w:tab w:val="left" w:pos="4085"/>
        </w:tabs>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（5）法定代表人授权委托书（委托代理时，按第六章要求格式填写）；（</w:t>
      </w:r>
      <w:r>
        <w:rPr>
          <w:rFonts w:hint="eastAsia" w:ascii="宋体" w:hAnsi="宋体" w:eastAsia="宋体" w:cs="宋体"/>
          <w:b/>
          <w:color w:val="auto"/>
          <w:sz w:val="24"/>
          <w:szCs w:val="24"/>
          <w:u w:val="none"/>
        </w:rPr>
        <w:t>委托时必须提供，</w:t>
      </w:r>
      <w:r>
        <w:rPr>
          <w:rFonts w:hint="eastAsia" w:ascii="宋体" w:hAnsi="宋体" w:eastAsia="宋体" w:cs="宋体"/>
          <w:b/>
          <w:bCs/>
          <w:color w:val="auto"/>
          <w:sz w:val="24"/>
          <w:szCs w:val="24"/>
          <w:u w:val="none"/>
        </w:rPr>
        <w:t>联合体</w:t>
      </w:r>
      <w:r>
        <w:rPr>
          <w:rFonts w:hint="eastAsia" w:ascii="宋体" w:hAnsi="宋体" w:eastAsia="宋体" w:cs="宋体"/>
          <w:b/>
          <w:bCs/>
          <w:color w:val="auto"/>
          <w:sz w:val="24"/>
          <w:szCs w:val="24"/>
          <w:u w:val="none"/>
          <w:lang w:val="en-US" w:eastAsia="zh-CN"/>
        </w:rPr>
        <w:t>竞</w:t>
      </w:r>
      <w:r>
        <w:rPr>
          <w:rFonts w:hint="eastAsia" w:ascii="宋体" w:hAnsi="宋体" w:eastAsia="宋体" w:cs="宋体"/>
          <w:b/>
          <w:bCs/>
          <w:color w:val="auto"/>
          <w:sz w:val="24"/>
          <w:szCs w:val="24"/>
          <w:u w:val="none"/>
        </w:rPr>
        <w:t>标时，联合体牵头人提供，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color w:val="auto"/>
          <w:sz w:val="24"/>
          <w:szCs w:val="24"/>
          <w:u w:val="none"/>
        </w:rPr>
        <w:t>）</w:t>
      </w:r>
      <w:r>
        <w:rPr>
          <w:rFonts w:hint="eastAsia" w:ascii="宋体" w:hAnsi="宋体" w:eastAsia="宋体" w:cs="宋体"/>
          <w:b/>
          <w:bCs/>
          <w:color w:val="auto"/>
          <w:sz w:val="24"/>
          <w:szCs w:val="24"/>
          <w:u w:val="none"/>
        </w:rPr>
        <w:t>；</w:t>
      </w:r>
    </w:p>
    <w:p>
      <w:pPr>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（6）磋商保证金证明</w:t>
      </w:r>
      <w:r>
        <w:rPr>
          <w:rFonts w:hint="eastAsia" w:ascii="宋体" w:hAnsi="宋体" w:eastAsia="宋体" w:cs="宋体"/>
          <w:b/>
          <w:bCs/>
          <w:color w:val="auto"/>
          <w:sz w:val="24"/>
          <w:szCs w:val="24"/>
          <w:u w:val="none"/>
        </w:rPr>
        <w:t>（必须提供，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（7）商务条款偏离表</w:t>
      </w:r>
      <w:r>
        <w:rPr>
          <w:rFonts w:hint="eastAsia" w:ascii="宋体" w:hAnsi="宋体" w:eastAsia="宋体" w:cs="宋体"/>
          <w:b/>
          <w:bCs/>
          <w:color w:val="auto"/>
          <w:sz w:val="24"/>
          <w:szCs w:val="24"/>
          <w:u w:val="none"/>
        </w:rPr>
        <w:t>（必须提供，</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w:t>
      </w:r>
    </w:p>
    <w:p>
      <w:pPr>
        <w:adjustRightInd w:val="0"/>
        <w:spacing w:line="240" w:lineRule="auto"/>
        <w:ind w:firstLine="420" w:firstLineChars="175"/>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（8）中小企业声明函、残疾人福利单位声明函；（如有，按第六章要求格式填写）</w:t>
      </w:r>
    </w:p>
    <w:p>
      <w:pPr>
        <w:adjustRightInd w:val="0"/>
        <w:spacing w:line="240" w:lineRule="auto"/>
        <w:ind w:firstLine="420" w:firstLineChars="175"/>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（9）</w:t>
      </w:r>
      <w:r>
        <w:rPr>
          <w:rFonts w:hint="eastAsia" w:ascii="宋体" w:hAnsi="宋体" w:eastAsia="宋体" w:cs="宋体"/>
          <w:color w:val="auto"/>
          <w:sz w:val="24"/>
          <w:szCs w:val="24"/>
          <w:u w:val="none"/>
        </w:rPr>
        <w:t>供应商2020年1月1日以来具有同类项目的业绩的相关证明材料（以签订的合同复印件为准，并能清晰反映项目的名称、种类、金额）（如有，请提供）；</w:t>
      </w:r>
    </w:p>
    <w:p>
      <w:pPr>
        <w:tabs>
          <w:tab w:val="left" w:pos="3870"/>
          <w:tab w:val="left" w:pos="4085"/>
        </w:tabs>
        <w:snapToGrid w:val="0"/>
        <w:spacing w:line="240" w:lineRule="auto"/>
        <w:ind w:firstLine="420" w:firstLineChars="175"/>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（10）</w:t>
      </w:r>
      <w:r>
        <w:rPr>
          <w:rFonts w:hint="eastAsia" w:ascii="宋体" w:hAnsi="宋体" w:eastAsia="宋体" w:cs="宋体"/>
          <w:color w:val="auto"/>
          <w:sz w:val="24"/>
          <w:szCs w:val="24"/>
          <w:u w:val="none"/>
          <w:lang w:val="en-US" w:eastAsia="zh-CN"/>
        </w:rPr>
        <w:t>供应商</w:t>
      </w:r>
      <w:r>
        <w:rPr>
          <w:rFonts w:hint="eastAsia" w:ascii="宋体" w:hAnsi="宋体" w:eastAsia="宋体" w:cs="宋体"/>
          <w:color w:val="auto"/>
          <w:sz w:val="24"/>
          <w:szCs w:val="24"/>
          <w:u w:val="none"/>
        </w:rPr>
        <w:t>针对报价需要说明的其他文件和说明。（如有，格式自拟）</w:t>
      </w:r>
    </w:p>
    <w:p>
      <w:pPr>
        <w:adjustRightInd w:val="0"/>
        <w:spacing w:line="240" w:lineRule="auto"/>
        <w:ind w:firstLine="422" w:firstLineChars="175"/>
        <w:rPr>
          <w:rFonts w:hint="eastAsia" w:ascii="宋体" w:hAnsi="宋体" w:eastAsia="宋体" w:cs="宋体"/>
          <w:color w:val="auto"/>
          <w:sz w:val="24"/>
          <w:szCs w:val="24"/>
        </w:rPr>
      </w:pPr>
      <w:r>
        <w:rPr>
          <w:rFonts w:hint="eastAsia" w:ascii="宋体" w:hAnsi="宋体" w:eastAsia="宋体" w:cs="宋体"/>
          <w:b/>
          <w:color w:val="auto"/>
          <w:sz w:val="24"/>
          <w:szCs w:val="24"/>
        </w:rPr>
        <w:t>11.3技术文件</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（1）技术需求偏离表</w:t>
      </w:r>
      <w:r>
        <w:rPr>
          <w:rFonts w:hint="eastAsia" w:ascii="宋体" w:hAnsi="宋体" w:eastAsia="宋体" w:cs="宋体"/>
          <w:b/>
          <w:bCs/>
          <w:color w:val="auto"/>
          <w:sz w:val="24"/>
          <w:szCs w:val="24"/>
        </w:rPr>
        <w:t>（必须提供</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Cs/>
          <w:color w:val="auto"/>
          <w:spacing w:val="-4"/>
          <w:sz w:val="24"/>
          <w:szCs w:val="24"/>
        </w:rPr>
        <w:t>项目服务方案</w:t>
      </w:r>
      <w:r>
        <w:rPr>
          <w:rFonts w:hint="eastAsia" w:ascii="宋体" w:hAnsi="宋体" w:eastAsia="宋体" w:cs="宋体"/>
          <w:b/>
          <w:bCs/>
          <w:color w:val="auto"/>
          <w:sz w:val="24"/>
          <w:szCs w:val="24"/>
        </w:rPr>
        <w:t>（必须提供</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（3）服务承诺书</w:t>
      </w:r>
      <w:r>
        <w:rPr>
          <w:rFonts w:hint="eastAsia" w:ascii="宋体" w:hAnsi="宋体" w:eastAsia="宋体" w:cs="宋体"/>
          <w:b/>
          <w:bCs/>
          <w:color w:val="auto"/>
          <w:sz w:val="24"/>
          <w:szCs w:val="24"/>
        </w:rPr>
        <w:t>（必须提供</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（4）拟投入本项目服务人员一览表</w:t>
      </w:r>
      <w:r>
        <w:rPr>
          <w:rFonts w:hint="eastAsia" w:ascii="宋体" w:hAnsi="宋体" w:eastAsia="宋体" w:cs="宋体"/>
          <w:b/>
          <w:bCs/>
          <w:color w:val="auto"/>
          <w:sz w:val="24"/>
          <w:szCs w:val="24"/>
        </w:rPr>
        <w:t>（必须提供</w:t>
      </w:r>
      <w:r>
        <w:rPr>
          <w:rFonts w:hint="eastAsia" w:ascii="宋体" w:hAnsi="宋体" w:eastAsia="宋体" w:cs="宋体"/>
          <w:b/>
          <w:bCs/>
          <w:color w:val="auto"/>
          <w:sz w:val="24"/>
          <w:szCs w:val="24"/>
          <w:u w:val="none"/>
        </w:rPr>
        <w:t>，</w:t>
      </w:r>
      <w:r>
        <w:rPr>
          <w:rFonts w:hint="eastAsia" w:ascii="宋体" w:hAnsi="宋体" w:eastAsia="宋体" w:cs="宋体"/>
          <w:b/>
          <w:color w:val="auto"/>
          <w:sz w:val="24"/>
          <w:szCs w:val="24"/>
          <w:u w:val="none"/>
        </w:rPr>
        <w:t>否则作</w:t>
      </w:r>
      <w:r>
        <w:rPr>
          <w:rFonts w:hint="eastAsia" w:ascii="宋体" w:hAnsi="宋体" w:cs="宋体"/>
          <w:b/>
          <w:color w:val="auto"/>
          <w:sz w:val="24"/>
          <w:szCs w:val="24"/>
          <w:u w:val="none"/>
          <w:lang w:eastAsia="zh-CN"/>
        </w:rPr>
        <w:t>无效响应</w:t>
      </w:r>
      <w:r>
        <w:rPr>
          <w:rFonts w:hint="eastAsia" w:ascii="宋体" w:hAnsi="宋体" w:eastAsia="宋体" w:cs="宋体"/>
          <w:b/>
          <w:color w:val="auto"/>
          <w:sz w:val="24"/>
          <w:szCs w:val="24"/>
          <w:u w:val="none"/>
        </w:rPr>
        <w:t>处理</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bCs/>
          <w:color w:val="auto"/>
          <w:sz w:val="24"/>
          <w:szCs w:val="24"/>
        </w:rPr>
        <w:t>（5）</w:t>
      </w:r>
      <w:r>
        <w:rPr>
          <w:rFonts w:hint="eastAsia" w:ascii="宋体" w:hAnsi="宋体" w:eastAsia="宋体" w:cs="宋体"/>
          <w:color w:val="auto"/>
          <w:sz w:val="24"/>
          <w:szCs w:val="24"/>
        </w:rPr>
        <w:t>供应商对本项目的合理化建议和改进措施（如有，格式自拟）；</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）供应商认为必要提供的声明及文件资料（如有</w:t>
      </w:r>
      <w:r>
        <w:rPr>
          <w:rFonts w:hint="eastAsia" w:ascii="宋体" w:hAnsi="宋体" w:eastAsia="宋体" w:cs="宋体"/>
          <w:color w:val="auto"/>
          <w:sz w:val="24"/>
          <w:szCs w:val="24"/>
          <w:u w:val="none"/>
        </w:rPr>
        <w:t>，请提供</w:t>
      </w:r>
      <w:r>
        <w:rPr>
          <w:rFonts w:hint="eastAsia" w:ascii="宋体" w:hAnsi="宋体" w:eastAsia="宋体" w:cs="宋体"/>
          <w:color w:val="auto"/>
          <w:sz w:val="24"/>
          <w:szCs w:val="24"/>
        </w:rPr>
        <w:t>）。</w:t>
      </w:r>
    </w:p>
    <w:p>
      <w:pPr>
        <w:tabs>
          <w:tab w:val="left" w:pos="1305"/>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12.响应文件的语言及计量</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12.2 响应计量单位，磋商文件已有明确规定的，使用磋商文件规定的计量单位；磋商文件没有规定的，应采用中华人民共和国法定计量单位（货币单位：人民币元），否则视同未响应。</w:t>
      </w:r>
    </w:p>
    <w:p>
      <w:pPr>
        <w:tabs>
          <w:tab w:val="left" w:pos="1305"/>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13.磋商报价及采购预算总金额</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13.1 磋商报价应按磋商文件中相关附表格式填写。</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13.2 供应商必须就“项目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需求”中的所有内容作完整唯一报价，否则，其响应将被拒绝。响应文件只允许有一个报价，有选择的或有条件的报价将不予接受。</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13.3 磋商报价应包括本次采购范围内提供的服务、检测费、技术费、人工费、材料费、设施费、保险、税金、培训等全部费用，供应商综合考虑在报价中。</w:t>
      </w:r>
    </w:p>
    <w:p>
      <w:pPr>
        <w:tabs>
          <w:tab w:val="left" w:pos="1305"/>
        </w:tabs>
        <w:spacing w:line="240" w:lineRule="auto"/>
        <w:ind w:firstLine="399" w:firstLineChars="175"/>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13.4 </w:t>
      </w:r>
      <w:r>
        <w:rPr>
          <w:rFonts w:hint="eastAsia" w:ascii="宋体" w:hAnsi="宋体" w:eastAsia="宋体" w:cs="宋体"/>
          <w:color w:val="auto"/>
          <w:position w:val="-2"/>
          <w:sz w:val="24"/>
          <w:szCs w:val="24"/>
        </w:rPr>
        <w:t>采购预算总金</w:t>
      </w:r>
      <w:r>
        <w:rPr>
          <w:rFonts w:hint="eastAsia" w:ascii="宋体" w:hAnsi="宋体" w:eastAsia="宋体" w:cs="宋体"/>
          <w:color w:val="auto"/>
          <w:sz w:val="24"/>
          <w:szCs w:val="24"/>
        </w:rPr>
        <w:t>额（人民币）：同预算金额。最后报价超出采购预算总金额的将被视为无效响应处理</w:t>
      </w:r>
      <w:r>
        <w:rPr>
          <w:rFonts w:hint="eastAsia" w:ascii="宋体" w:hAnsi="宋体" w:eastAsia="宋体" w:cs="宋体"/>
          <w:color w:val="auto"/>
          <w:spacing w:val="-6"/>
          <w:kern w:val="0"/>
          <w:sz w:val="24"/>
          <w:szCs w:val="24"/>
        </w:rPr>
        <w:t>。</w:t>
      </w:r>
    </w:p>
    <w:p>
      <w:pPr>
        <w:tabs>
          <w:tab w:val="left" w:pos="1305"/>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14.响应文件有效期</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14.1响应文件有效期：自响应文件递交截止时间之日起</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天，有效期不足的响应文件将被拒绝。</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14.2 出现特殊情况下，需要延长响应有效期的，采购代理机构以书面形式通知供应商延长响应文件有效期。供应商同意延长的，应相应延长其磋商保证金的有效期，但不能修改响应文件。供应商拒绝延长的，其响应无效，但供应商有权收回其磋商保证金。</w:t>
      </w:r>
    </w:p>
    <w:p>
      <w:pPr>
        <w:tabs>
          <w:tab w:val="left" w:pos="1305"/>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15.磋商保证金</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15.1 磋商保证金的金额：见前附表。</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15.2 磋商保证金有效期：自响应文件递交截止时间之日起</w:t>
      </w:r>
      <w:r>
        <w:rPr>
          <w:rFonts w:hint="eastAsia" w:ascii="宋体" w:hAnsi="宋体" w:eastAsia="宋体" w:cs="宋体"/>
          <w:color w:val="auto"/>
          <w:sz w:val="24"/>
          <w:szCs w:val="24"/>
          <w:u w:val="single"/>
        </w:rPr>
        <w:t xml:space="preserve"> 60</w:t>
      </w:r>
      <w:r>
        <w:rPr>
          <w:rFonts w:hint="eastAsia" w:ascii="宋体" w:hAnsi="宋体" w:eastAsia="宋体" w:cs="宋体"/>
          <w:color w:val="auto"/>
          <w:sz w:val="24"/>
          <w:szCs w:val="24"/>
        </w:rPr>
        <w:t>天。</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15.3 </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应于截标前将磋商保证金由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 xml:space="preserve">账户以转账或电汇形式转到以下账户 (本项目不接受现金形式或从个人账户转出的磋商保证金)： </w:t>
      </w:r>
    </w:p>
    <w:p>
      <w:pPr>
        <w:spacing w:line="240" w:lineRule="auto"/>
        <w:ind w:firstLine="420" w:firstLineChars="17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开户名称：中环建（北京）工程管理有限公司三江分公司</w:t>
      </w:r>
      <w:r>
        <w:rPr>
          <w:rFonts w:hint="eastAsia" w:ascii="宋体" w:hAnsi="宋体" w:eastAsia="宋体" w:cs="宋体"/>
          <w:color w:val="auto"/>
          <w:sz w:val="24"/>
          <w:szCs w:val="24"/>
          <w:lang w:eastAsia="zh-CN"/>
        </w:rPr>
        <w:t>；</w:t>
      </w:r>
    </w:p>
    <w:p>
      <w:pPr>
        <w:spacing w:line="240" w:lineRule="auto"/>
        <w:ind w:firstLine="420" w:firstLineChars="17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开户银行：柳州银行股份有限公司三江支行</w:t>
      </w:r>
      <w:r>
        <w:rPr>
          <w:rFonts w:hint="eastAsia" w:ascii="宋体" w:hAnsi="宋体" w:eastAsia="宋体" w:cs="宋体"/>
          <w:color w:val="auto"/>
          <w:sz w:val="24"/>
          <w:szCs w:val="24"/>
          <w:lang w:eastAsia="zh-CN"/>
        </w:rPr>
        <w:t>；</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银行账号：75000500000000006091。</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未按以上规定缴纳保证金的其竞标无效。注：</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汇款时必须注明项目名称或编号及所</w:t>
      </w:r>
      <w:r>
        <w:rPr>
          <w:rFonts w:hint="eastAsia" w:ascii="宋体" w:hAnsi="宋体" w:eastAsia="宋体" w:cs="宋体"/>
          <w:color w:val="auto"/>
          <w:sz w:val="24"/>
          <w:szCs w:val="24"/>
          <w:lang w:val="en-US" w:eastAsia="zh-CN"/>
        </w:rPr>
        <w:t>竞</w:t>
      </w:r>
      <w:r>
        <w:rPr>
          <w:rFonts w:hint="eastAsia" w:ascii="宋体" w:hAnsi="宋体" w:eastAsia="宋体" w:cs="宋体"/>
          <w:color w:val="auto"/>
          <w:sz w:val="24"/>
          <w:szCs w:val="24"/>
        </w:rPr>
        <w:t>标段（如有）等。如磋商保证金银行 单据上未注明项目名称或编号及所</w:t>
      </w:r>
      <w:r>
        <w:rPr>
          <w:rFonts w:hint="eastAsia" w:ascii="宋体" w:hAnsi="宋体" w:eastAsia="宋体" w:cs="宋体"/>
          <w:color w:val="auto"/>
          <w:sz w:val="24"/>
          <w:szCs w:val="24"/>
          <w:lang w:val="en-US" w:eastAsia="zh-CN"/>
        </w:rPr>
        <w:t>竞</w:t>
      </w:r>
      <w:r>
        <w:rPr>
          <w:rFonts w:hint="eastAsia" w:ascii="宋体" w:hAnsi="宋体" w:eastAsia="宋体" w:cs="宋体"/>
          <w:color w:val="auto"/>
          <w:sz w:val="24"/>
          <w:szCs w:val="24"/>
        </w:rPr>
        <w:t>标段（如有）等内容所导致的后果由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自负。</w:t>
      </w:r>
      <w:r>
        <w:rPr>
          <w:rFonts w:hint="eastAsia" w:ascii="宋体" w:hAnsi="宋体" w:eastAsia="宋体" w:cs="宋体"/>
          <w:b/>
          <w:bCs/>
          <w:color w:val="auto"/>
          <w:kern w:val="0"/>
          <w:sz w:val="24"/>
          <w:szCs w:val="24"/>
        </w:rPr>
        <w:t>若为联合体</w:t>
      </w:r>
      <w:r>
        <w:rPr>
          <w:rFonts w:hint="eastAsia" w:ascii="宋体" w:hAnsi="宋体" w:eastAsia="宋体" w:cs="宋体"/>
          <w:b/>
          <w:bCs/>
          <w:color w:val="auto"/>
          <w:kern w:val="0"/>
          <w:sz w:val="24"/>
          <w:szCs w:val="24"/>
          <w:lang w:val="en-US" w:eastAsia="zh-CN"/>
        </w:rPr>
        <w:t>竞</w:t>
      </w:r>
      <w:r>
        <w:rPr>
          <w:rFonts w:hint="eastAsia" w:ascii="宋体" w:hAnsi="宋体" w:eastAsia="宋体" w:cs="宋体"/>
          <w:b/>
          <w:bCs/>
          <w:color w:val="auto"/>
          <w:kern w:val="0"/>
          <w:sz w:val="24"/>
          <w:szCs w:val="24"/>
        </w:rPr>
        <w:t>标的，磋商保证金必须由下载本项目采购文件的供应商提交，否则</w:t>
      </w:r>
      <w:r>
        <w:rPr>
          <w:rFonts w:hint="eastAsia" w:ascii="宋体" w:hAnsi="宋体" w:eastAsia="宋体" w:cs="宋体"/>
          <w:b/>
          <w:bCs/>
          <w:color w:val="auto"/>
          <w:kern w:val="0"/>
          <w:sz w:val="24"/>
          <w:szCs w:val="24"/>
          <w:lang w:val="en-US" w:eastAsia="zh-CN"/>
        </w:rPr>
        <w:t>竞</w:t>
      </w:r>
      <w:r>
        <w:rPr>
          <w:rFonts w:hint="eastAsia" w:ascii="宋体" w:hAnsi="宋体" w:eastAsia="宋体" w:cs="宋体"/>
          <w:b/>
          <w:bCs/>
          <w:color w:val="auto"/>
          <w:kern w:val="0"/>
          <w:sz w:val="24"/>
          <w:szCs w:val="24"/>
        </w:rPr>
        <w:t>标无效。</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凡未在规定时间内足额交纳或以其它方式交纳的磋商保证金均视为无效，其响应文件一律作无效处理。</w:t>
      </w:r>
    </w:p>
    <w:p>
      <w:pPr>
        <w:bidi w:val="0"/>
        <w:ind w:firstLine="480" w:firstLineChars="200"/>
        <w:rPr>
          <w:rFonts w:hint="eastAsia" w:ascii="宋体" w:hAnsi="宋体" w:eastAsia="宋体" w:cs="宋体"/>
        </w:rPr>
      </w:pPr>
      <w:r>
        <w:rPr>
          <w:rFonts w:hint="eastAsia" w:ascii="宋体" w:hAnsi="宋体" w:eastAsia="宋体" w:cs="宋体"/>
        </w:rPr>
        <w:t>供应商应按上述要求交纳磋商保证金,并自行考虑到账时间，妥善安排磋商保证金交纳工作，确保按时到账。供应商应将磋商保证金交纳凭证复印件放入响应文件中，确保按时递交响应文件。否则，其响应将被拒绝。</w:t>
      </w:r>
    </w:p>
    <w:p>
      <w:pPr>
        <w:bidi w:val="0"/>
        <w:ind w:firstLine="480" w:firstLineChars="200"/>
        <w:rPr>
          <w:rFonts w:hint="eastAsia" w:ascii="宋体" w:hAnsi="宋体" w:eastAsia="宋体" w:cs="宋体"/>
        </w:rPr>
      </w:pPr>
      <w:r>
        <w:rPr>
          <w:rFonts w:hint="eastAsia" w:ascii="宋体" w:hAnsi="宋体" w:eastAsia="宋体" w:cs="宋体"/>
        </w:rPr>
        <w:t>15.4 对未足额、按时交纳磋商保证金的，均按未交纳磋商保证金处理，并由磋商小组现场核定该响应无效。</w:t>
      </w:r>
    </w:p>
    <w:p>
      <w:pPr>
        <w:snapToGrid w:val="0"/>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15.5 磋商保证金的退还均以转账形式（无息）退回到供应商银行账户。除磋商文件规定不予退还保证金的情形外，未成交供应商的磋商保证金在成交通知书发出后四个工作日内，供应商提供本单位开户银行及账号后，以转账方式退还磋商保证金。成交供应商在合同签订之日起2个工作日内向招标代理机构提供至少一份合同副本备案（按项目需要要求）。以配合招标代理机构按《关于进一步做好政府采购信息公开有关工作的通知》（桂财采【2016】7号文件第八条）的要求，在财政部门指定媒体上公告合同的主要内容。合同签订之日起四个工作日退还成交人的磋商保证金。对无法在上述要求期限内将合同送达的成交人，我公司须凭成交人出具加盖公章的情况说明，才能退还其磋商保证金。</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15.6 供应商有下列情形之一的，磋商保证金将不予退还；</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（1）供应商在响应文件递交截止时间后撤回响应文件的；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（3）除因不可抗力或磋商文件认可的情形外，成交供应商不与采购人签订合同的；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（4）供应商与采购人、其他供应商或者采购代理机构恶意串通的； </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（5）将成交项目转让给他人或者在响应文件中未说明且未经采购人同意，将成交项目分包给他人的；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（6）其他严重扰乱采购程序的。</w:t>
      </w:r>
    </w:p>
    <w:p>
      <w:pPr>
        <w:tabs>
          <w:tab w:val="left" w:pos="1305"/>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16.响应文件的修改和撤回</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16.1 供应商在响应文件递交截止时间之前，可以对已递交的响应文件进行修改或撤回，并书面通知采购代理机构。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16.2 在响应文件递交截止时间后的响应文件有效期内，供应商不得撤回其响应文件。</w:t>
      </w:r>
    </w:p>
    <w:p>
      <w:pPr>
        <w:tabs>
          <w:tab w:val="left" w:pos="1305"/>
        </w:tabs>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17.响应文件的递交</w:t>
      </w:r>
    </w:p>
    <w:p>
      <w:pPr>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17.1 </w:t>
      </w:r>
      <w:r>
        <w:rPr>
          <w:rFonts w:hint="eastAsia" w:ascii="宋体" w:hAnsi="宋体" w:eastAsia="宋体" w:cs="宋体"/>
          <w:b w:val="0"/>
          <w:bCs/>
          <w:color w:val="auto"/>
          <w:sz w:val="24"/>
          <w:szCs w:val="24"/>
        </w:rPr>
        <w:t>响应文件递交截止时间：见</w:t>
      </w:r>
      <w:r>
        <w:rPr>
          <w:rFonts w:hint="eastAsia" w:ascii="宋体" w:hAnsi="宋体" w:eastAsia="宋体" w:cs="宋体"/>
          <w:color w:val="auto"/>
          <w:sz w:val="24"/>
          <w:szCs w:val="24"/>
        </w:rPr>
        <w:t>前附表。</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供应商应当按以上规定的响应文件递交截止时间前递交响应文件。</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17.2 </w:t>
      </w:r>
      <w:r>
        <w:rPr>
          <w:rFonts w:hint="eastAsia" w:ascii="宋体" w:hAnsi="宋体" w:eastAsia="宋体" w:cs="宋体"/>
          <w:b w:val="0"/>
          <w:bCs/>
          <w:color w:val="auto"/>
          <w:sz w:val="24"/>
          <w:szCs w:val="24"/>
        </w:rPr>
        <w:t>递交响应文件的地点：见前</w:t>
      </w:r>
      <w:r>
        <w:rPr>
          <w:rFonts w:hint="eastAsia" w:ascii="宋体" w:hAnsi="宋体" w:eastAsia="宋体" w:cs="宋体"/>
          <w:color w:val="auto"/>
          <w:sz w:val="24"/>
          <w:szCs w:val="24"/>
        </w:rPr>
        <w:t>附表。</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供应商应当按以上规定的响应文件递交截止时间前递交响应文件。</w:t>
      </w:r>
    </w:p>
    <w:p>
      <w:pPr>
        <w:snapToGrid w:val="0"/>
        <w:spacing w:line="240" w:lineRule="auto"/>
        <w:ind w:firstLine="422" w:firstLineChars="175"/>
        <w:jc w:val="left"/>
        <w:rPr>
          <w:rFonts w:hint="eastAsia" w:ascii="宋体" w:hAnsi="宋体" w:eastAsia="宋体" w:cs="宋体"/>
          <w:b/>
          <w:color w:val="auto"/>
          <w:sz w:val="24"/>
          <w:szCs w:val="24"/>
        </w:rPr>
      </w:pPr>
      <w:bookmarkStart w:id="47" w:name="_Toc452364069"/>
      <w:r>
        <w:rPr>
          <w:rFonts w:hint="eastAsia" w:ascii="宋体" w:hAnsi="宋体" w:eastAsia="宋体" w:cs="宋体"/>
          <w:b/>
          <w:color w:val="auto"/>
          <w:sz w:val="24"/>
          <w:szCs w:val="24"/>
        </w:rPr>
        <w:t>18、</w:t>
      </w:r>
      <w:bookmarkStart w:id="48" w:name="_Hlk96593963"/>
      <w:r>
        <w:rPr>
          <w:rFonts w:hint="eastAsia" w:ascii="宋体" w:hAnsi="宋体" w:eastAsia="宋体" w:cs="宋体"/>
          <w:b/>
          <w:color w:val="auto"/>
          <w:sz w:val="24"/>
          <w:szCs w:val="24"/>
        </w:rPr>
        <w:t>响应文件的签署、份数、盖章和解密</w:t>
      </w:r>
      <w:bookmarkEnd w:id="48"/>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18.1 响应文件应使用电子交易平台客户端软件，并按照本采购文件和电子交易平台要求编制并加密响应文件。未按规定加密的响应文件，电子交易平台将拒收。</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18.2 响应文件制作并加密完成后应在电子交易平台上传完成。</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18.3 响应文件应使用电子交易平台CA数字证书进行电子签章。</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18.4 </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应准确设置评审关联点。未设置或设置错误导致响应文件被误读、漏读或者查找不到相关内容的，是</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的责任。</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18.5 响应文件所提供的相关材料的尺寸和清晰度应该能够在电脑上被阅读、识别和判断。</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18.6 响应文件内容无法阅读、识别和判断的，视为未提供。</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18.7 响应文件的容量大小须符合电子交易平台规定。</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18.4 响应文件须由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在规定位置盖CA 电子签章并由法定代表人（负责人或自然人）或法定代表人（负责人或自然人）的授权委托人签字，否则作</w:t>
      </w:r>
      <w:r>
        <w:rPr>
          <w:rFonts w:hint="eastAsia" w:ascii="宋体" w:hAnsi="宋体" w:cs="宋体"/>
          <w:color w:val="auto"/>
          <w:sz w:val="24"/>
          <w:szCs w:val="24"/>
          <w:lang w:eastAsia="zh-CN"/>
        </w:rPr>
        <w:t>无效响应</w:t>
      </w:r>
      <w:r>
        <w:rPr>
          <w:rFonts w:hint="eastAsia" w:ascii="宋体" w:hAnsi="宋体" w:eastAsia="宋体" w:cs="宋体"/>
          <w:color w:val="auto"/>
          <w:sz w:val="24"/>
          <w:szCs w:val="24"/>
        </w:rPr>
        <w:t>处理。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18.5 响应文件中标注的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名称应与主体资格证明（如营业执照、事业单位法人证书、执业许可证、个体工商户营业执照、自然人身份证等）和CA 电子签章一致，否则作</w:t>
      </w:r>
      <w:r>
        <w:rPr>
          <w:rFonts w:hint="eastAsia" w:ascii="宋体" w:hAnsi="宋体" w:cs="宋体"/>
          <w:color w:val="auto"/>
          <w:sz w:val="24"/>
          <w:szCs w:val="24"/>
          <w:lang w:eastAsia="zh-CN"/>
        </w:rPr>
        <w:t>无效响应</w:t>
      </w:r>
      <w:r>
        <w:rPr>
          <w:rFonts w:hint="eastAsia" w:ascii="宋体" w:hAnsi="宋体" w:eastAsia="宋体" w:cs="宋体"/>
          <w:color w:val="auto"/>
          <w:sz w:val="24"/>
          <w:szCs w:val="24"/>
        </w:rPr>
        <w:t>处理。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18.6 响应文件应尽量避免涂改、行间插字或删除。如果出现上述情况，改动之处应由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的法定代表人（负责人或自然人）或其授权的代理人签字或盖章。响应文件因字迹潦草或表达不清所引起的后果由</w:t>
      </w:r>
      <w:r>
        <w:rPr>
          <w:rFonts w:hint="eastAsia" w:ascii="宋体" w:hAnsi="宋体" w:cs="宋体"/>
          <w:color w:val="auto"/>
          <w:lang w:val="en-US" w:eastAsia="zh-CN"/>
        </w:rPr>
        <w:t>供应商</w:t>
      </w:r>
      <w:r>
        <w:rPr>
          <w:rFonts w:hint="eastAsia" w:ascii="宋体" w:hAnsi="宋体" w:eastAsia="宋体" w:cs="宋体"/>
          <w:color w:val="auto"/>
          <w:sz w:val="24"/>
          <w:szCs w:val="24"/>
        </w:rPr>
        <w:t>承担。</w:t>
      </w:r>
    </w:p>
    <w:p>
      <w:pPr>
        <w:tabs>
          <w:tab w:val="left" w:pos="1305"/>
        </w:tabs>
        <w:spacing w:line="24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19.首次响应文件的递交</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19.1 响应文件的递交：本项目实行“网上竞标、电子开、评标”，</w:t>
      </w:r>
      <w:r>
        <w:rPr>
          <w:rFonts w:hint="eastAsia" w:ascii="宋体" w:hAnsi="宋体" w:cs="宋体"/>
          <w:color w:val="auto"/>
          <w:lang w:val="en-US" w:eastAsia="zh-CN"/>
        </w:rPr>
        <w:t>供应商</w:t>
      </w:r>
      <w:r>
        <w:rPr>
          <w:rFonts w:hint="eastAsia" w:ascii="宋体" w:hAnsi="宋体" w:eastAsia="宋体" w:cs="宋体"/>
          <w:color w:val="auto"/>
          <w:sz w:val="24"/>
          <w:szCs w:val="24"/>
        </w:rPr>
        <w:t>应于递交截止时间前在“政采云”（电子交易平台）上传输、递交加密的电子版响应文件。</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19.2 </w:t>
      </w:r>
      <w:r>
        <w:rPr>
          <w:rFonts w:hint="eastAsia" w:ascii="宋体" w:hAnsi="宋体" w:cs="宋体"/>
          <w:color w:val="auto"/>
          <w:lang w:val="en-US" w:eastAsia="zh-CN"/>
        </w:rPr>
        <w:t>供应商</w:t>
      </w:r>
      <w:r>
        <w:rPr>
          <w:rFonts w:hint="eastAsia" w:ascii="宋体" w:hAnsi="宋体" w:eastAsia="宋体" w:cs="宋体"/>
          <w:color w:val="auto"/>
          <w:sz w:val="24"/>
          <w:szCs w:val="24"/>
        </w:rPr>
        <w:t>应当在响应文件递交截止时间前在“政采云”（电子交易平台）上自行上传加密的电子响应文件，响应文件递交截止时间详见本采购文件第一章《采购公告》。</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19.3 未按规定上传的响应文件将被拒绝，由此造成响应文件解密失败或被误投的风险由</w:t>
      </w:r>
      <w:r>
        <w:rPr>
          <w:rFonts w:hint="eastAsia" w:ascii="宋体" w:hAnsi="宋体" w:cs="宋体"/>
          <w:color w:val="auto"/>
          <w:lang w:val="en-US" w:eastAsia="zh-CN"/>
        </w:rPr>
        <w:t>供应商</w:t>
      </w:r>
      <w:r>
        <w:rPr>
          <w:rFonts w:hint="eastAsia" w:ascii="宋体" w:hAnsi="宋体" w:eastAsia="宋体" w:cs="宋体"/>
          <w:color w:val="auto"/>
          <w:sz w:val="24"/>
          <w:szCs w:val="24"/>
        </w:rPr>
        <w:t>自行承担。</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19.4 </w:t>
      </w:r>
      <w:r>
        <w:rPr>
          <w:rFonts w:hint="eastAsia" w:ascii="宋体" w:hAnsi="宋体" w:cs="宋体"/>
          <w:color w:val="auto"/>
          <w:lang w:val="en-US" w:eastAsia="zh-CN"/>
        </w:rPr>
        <w:t>供应商</w:t>
      </w:r>
      <w:r>
        <w:rPr>
          <w:rFonts w:hint="eastAsia" w:ascii="宋体" w:hAnsi="宋体" w:eastAsia="宋体" w:cs="宋体"/>
          <w:color w:val="auto"/>
          <w:sz w:val="24"/>
          <w:szCs w:val="24"/>
        </w:rPr>
        <w:t>须在提交响应文件截止后30分钟内对上传政采云的响应文件进行解密。非政采云技术原因或非采购代理机构操作原因造成的</w:t>
      </w:r>
      <w:r>
        <w:rPr>
          <w:rFonts w:hint="eastAsia" w:ascii="宋体" w:hAnsi="宋体" w:cs="宋体"/>
          <w:color w:val="auto"/>
          <w:lang w:val="en-US" w:eastAsia="zh-CN"/>
        </w:rPr>
        <w:t>供应商</w:t>
      </w:r>
      <w:r>
        <w:rPr>
          <w:rFonts w:hint="eastAsia" w:ascii="宋体" w:hAnsi="宋体" w:eastAsia="宋体" w:cs="宋体"/>
          <w:color w:val="auto"/>
          <w:sz w:val="24"/>
          <w:szCs w:val="24"/>
        </w:rPr>
        <w:t>超过解密时限未完成解密的，或响应文件无法解密或解密失败，视为</w:t>
      </w:r>
      <w:r>
        <w:rPr>
          <w:rFonts w:hint="eastAsia" w:ascii="宋体" w:hAnsi="宋体" w:cs="宋体"/>
          <w:color w:val="auto"/>
          <w:lang w:val="en-US" w:eastAsia="zh-CN"/>
        </w:rPr>
        <w:t>供应商</w:t>
      </w:r>
      <w:r>
        <w:rPr>
          <w:rFonts w:hint="eastAsia" w:ascii="宋体" w:hAnsi="宋体" w:eastAsia="宋体" w:cs="宋体"/>
          <w:color w:val="auto"/>
          <w:sz w:val="24"/>
          <w:szCs w:val="24"/>
        </w:rPr>
        <w:t>放弃竞标。</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19.5响应文件的补充、修改与撤回</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cs="宋体"/>
          <w:color w:val="auto"/>
          <w:lang w:val="en-US" w:eastAsia="zh-CN"/>
        </w:rPr>
        <w:t>供应商</w:t>
      </w:r>
      <w:r>
        <w:rPr>
          <w:rFonts w:hint="eastAsia" w:ascii="宋体" w:hAnsi="宋体" w:eastAsia="宋体" w:cs="宋体"/>
          <w:color w:val="auto"/>
          <w:sz w:val="24"/>
          <w:szCs w:val="24"/>
        </w:rPr>
        <w:t>应当在响应文件递交截止时间前完成电子响应文件的传输递交，递交截止时间前并可以补充、修改或者撤回电子响应文件。补充或者修改电子响应文件的，应当先行撤回原文件，补充、修改后重新传输递交。递交截止时间前未完成传输的，视为放弃竞标。递交截止时间后上传的文件，将被政采云平台拒收。</w:t>
      </w:r>
    </w:p>
    <w:p>
      <w:pPr>
        <w:tabs>
          <w:tab w:val="left" w:pos="1305"/>
        </w:tabs>
        <w:spacing w:line="240" w:lineRule="auto"/>
        <w:ind w:firstLine="422" w:firstLineChars="175"/>
        <w:jc w:val="center"/>
        <w:outlineLvl w:val="1"/>
        <w:rPr>
          <w:rFonts w:hint="eastAsia" w:ascii="宋体" w:hAnsi="宋体" w:eastAsia="宋体" w:cs="宋体"/>
          <w:b/>
          <w:color w:val="auto"/>
          <w:sz w:val="24"/>
          <w:szCs w:val="24"/>
        </w:rPr>
      </w:pPr>
      <w:bookmarkStart w:id="49" w:name="_Toc31899"/>
      <w:bookmarkStart w:id="50" w:name="_Toc14045"/>
      <w:bookmarkStart w:id="51" w:name="_Toc20660"/>
      <w:bookmarkStart w:id="52" w:name="_Toc8489"/>
      <w:bookmarkStart w:id="53" w:name="_Toc6858"/>
      <w:bookmarkStart w:id="54" w:name="_Toc6157"/>
      <w:bookmarkStart w:id="55" w:name="_Toc27272"/>
      <w:bookmarkStart w:id="56" w:name="_Toc22542"/>
      <w:bookmarkStart w:id="57" w:name="_Toc452364067"/>
      <w:bookmarkStart w:id="58" w:name="_Toc31850"/>
      <w:bookmarkStart w:id="59" w:name="_Toc25954"/>
      <w:bookmarkStart w:id="60" w:name="_Toc26214"/>
      <w:bookmarkStart w:id="61" w:name="_Toc16498"/>
      <w:bookmarkStart w:id="62" w:name="_Toc32037"/>
      <w:bookmarkStart w:id="63" w:name="_Toc9753"/>
      <w:bookmarkStart w:id="64" w:name="_Toc3873"/>
      <w:r>
        <w:rPr>
          <w:rFonts w:hint="eastAsia" w:ascii="宋体" w:hAnsi="宋体" w:eastAsia="宋体" w:cs="宋体"/>
          <w:b/>
          <w:color w:val="auto"/>
          <w:sz w:val="24"/>
          <w:szCs w:val="24"/>
        </w:rPr>
        <w:t>四、竞争性磋商（简称磋商）与评审</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tabs>
          <w:tab w:val="left" w:pos="1305"/>
        </w:tabs>
        <w:spacing w:line="24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20.评审专家的组成及评审</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20.1评审专家组成：采购代理机构根据磋商项目的特点依法组建“磋商小组”,“磋商小组”由采购人代表和评审专家共3人或3人以上单数组成，其中评审专家的人数不得少于磋商小组成员总数的三分之二。</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20.2竞争性磋商小组职责</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20.2.1负责确认磋商文件；</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20.2.2根据《财政部关于政府采购竞争性磋商采购方式管理暂行办法有关问题的补充通知》财库[2015]124号及《政府采购竞争性磋商采购方式管理暂行办法》（财库〔2014〕214号）第三条第四项“市场竞争不充分的科研项目，以及需要扶持的科技成果转化项目”的规定，在采购过程中符合要求的供应商只有2家的，竞争性磋商采购活动继续进行，即提交最后报价的供应商可以为2家；</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20.2.3审查供应商的响应文件并作出评价；</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20.2.4要求供应商解释或者澄清其响应文件；</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20.2.5编写评审报告；</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20.2.6告知采购人、采购代理机构在评审过程中发现的供应商的违法违规行为。</w:t>
      </w:r>
    </w:p>
    <w:p>
      <w:pPr>
        <w:tabs>
          <w:tab w:val="left" w:pos="1305"/>
        </w:tabs>
        <w:spacing w:line="24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21.无效响应的情形</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磋商小组根据确认后的磋商文件对供应商的响应文件进行审查。对有下列情况之一响应文件，将会按照无效响应处理，并告知有关供应商。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21.1关联供应商不得参加同一合同项下的政府采购活动。</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21.1.1单位负责人为同一人或者存在直接控股、管理关系的不同的供应商，不得参加同一合同项下的政府采购活动；</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21.1.2生产厂商授权给供应商后自己不得参加同一合同项下的政府采购活动。</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21.2未交或不足额缴纳保证金的。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21.3磋商小组根据确认后的磋商文件对供应商的响应文件进行资格及符合性审查。对有下列情况之一的响应文件，将会按照无效响应处理。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21.3.1超越了按照法律法规规定必须获得行政许可或者行政审批的经营范围的；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21.3.2资格证明文件不全的，或者不符合磋商文件标明的资格要求的；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21.3.3 响应文件未按磋商文件规定要求签署、盖章的；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21.3.4递交响应文件的代表人未能出具身份证明或与法定代表人(负责人、自然人)授权委托人身份不符的；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21.3.5 对磋商文件实质性要求不能完全响应或者内容虚假的；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21.3.6未采用人民币报价或者未按照磋商文件标明的币种报价的；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21.3.7报价超过磋商文件中规定的预算金额的；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21.3.8响应文件的实质性内容未使用中文表述、意思表述不明确、前后矛盾或者使用计量单位不符合磋商文件要求的（经磋商小组认定并允许进行澄清的笔误除外）；</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21.3.9响应文件附有采购人不能接受的条件的；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21.3.10不符合法律法规相关规定的；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21.4 被拒绝的响应文件为无效响应。</w:t>
      </w:r>
    </w:p>
    <w:p>
      <w:pPr>
        <w:tabs>
          <w:tab w:val="left" w:pos="1305"/>
        </w:tabs>
        <w:spacing w:line="24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22.磋商的步骤说明</w:t>
      </w:r>
    </w:p>
    <w:p>
      <w:pPr>
        <w:tabs>
          <w:tab w:val="left" w:pos="1305"/>
        </w:tabs>
        <w:spacing w:line="240" w:lineRule="auto"/>
        <w:ind w:firstLine="420" w:firstLineChars="17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22.1磋商时间：截标时间后（具体时间由采购代理机构另行通知）</w:t>
      </w:r>
      <w:r>
        <w:rPr>
          <w:rFonts w:hint="eastAsia" w:ascii="宋体" w:hAnsi="宋体" w:eastAsia="宋体" w:cs="宋体"/>
          <w:color w:val="auto"/>
          <w:sz w:val="24"/>
          <w:szCs w:val="24"/>
          <w:lang w:eastAsia="zh-CN"/>
        </w:rPr>
        <w:t>；</w:t>
      </w:r>
    </w:p>
    <w:p>
      <w:pPr>
        <w:tabs>
          <w:tab w:val="left" w:pos="1305"/>
        </w:tabs>
        <w:spacing w:line="240" w:lineRule="auto"/>
        <w:ind w:firstLine="420" w:firstLineChars="17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磋商地点：政采云平台（https://www.zcygov.cn/）</w:t>
      </w:r>
      <w:r>
        <w:rPr>
          <w:rFonts w:hint="eastAsia" w:ascii="宋体" w:hAnsi="宋体" w:eastAsia="宋体" w:cs="宋体"/>
          <w:color w:val="auto"/>
          <w:sz w:val="24"/>
          <w:szCs w:val="24"/>
          <w:lang w:eastAsia="zh-CN"/>
        </w:rPr>
        <w:t>。</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22.2磋商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22.2.1 磋商小组确定不少于3家符合资格条件的供应商，在磋商过程中符合采购文件实质性要求的供应商为2家时，磋商活动可以继续进行，磋商结束后，提交最后报价的供应商为2家。</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22.2.2磋商小组集中与单一供应商分别进行磋商，并给予所有参加磋商的供应商平等的磋商机会。供应商应当在采购人或采购代理机构发出磋商通知（开启新一轮报价）后在政采云平台设定的时间内进行响应，否则视同放弃参加磋商权利，其响应文件按无效响应处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22.2.3磋商小组确定供应商符合磋商文件要求的，无需再磋商的，磋商小组按照竞争性磋商文件设定的22.4程序和综合评分法确定成交候选人。第一轮磋商后磋商小组未能确定成交候选人的，可对磋商文件变动后再次磋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22.3磋商文件变动及再次磋商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22.3.1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22.3.2对竞争性磋商文件作出的实质性变动是竞争性磋商文件的有效组成部分，磋商小组应当及时以书面形式同时通知所有参加磋商的供应商。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22.3.3供应商应当按照磋商文件的变动情况和磋商小组的要求重新提交响应文件，并由其法定代表人(负责人、自然人)或授权代表签字或者加盖CA 电子签章。由授权代表签字的，应当附法定代表人(负责人、自然人)授权书。响应文件应送交磋商小组。逾时不交的，视同放弃磋商。重新提交的响应文件与竞争性磋商文件同具法律效力。</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22.3.4磋商小组就变动后的响应文件与供应商分别进行再次磋商（具体磋商次数由磋商小组根据磋商情况确定）。</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22.3.5磋商文件不能详细列明采购标的的技术、服务要求，需经磋商由供应商提供最终设计方案或解决方案的，磋商结束后，磋商小组应当按照少数服从多数的原则投票推荐3家以上供应商的设计方案或解决方案，磋商小组按照竞争性磋商文件设定的22.4程序和综合评分法确定成交候选人。</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22.3.6磋商小组一致确定供应商的竞争性磋商文件能够详细列明采购标的的技术、服务要求且符合竞争性磋商文件要求，无需再磋商的，磋商小组按照竞争性磋商文件设定的22.4程序和综合评分法确定成交候选人。</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22.4最后报价及成交候选供应商推荐</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22.4.1磋商结束后，磋商小组要求所有继续参加磋商的供应商在规定时间内提交最后报价，由其法定代表人(负责人、自然人)或授权代表签字或者加盖CA电子签章后递交磋商小组。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22.4.2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22.4.3供应商的最后报价是供应商响应文件的有效组成部分。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22.4.4已提交响应文件的供应商，在提交最后报价之前，可以根据磋商情况退出磋商。采购人、采购代理机构应当退还退出磋商的供应商的保证金。</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22.4.5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22.5其他</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22.5.1磋商小组成员以及与评审工作有关的人员不得泄露评审情况以及评审过程中获悉的国家秘密、商业秘密。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22.5.2采购代理机构对磋商过程和重要磋商内容进行记录，磋商双方在记录上签字确认。</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22.5.3最终磋商结束后，磋商小组不得再与磋商供应商进行任何形式的商谈。</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22.5.4出现下列情形之一的，采购代理机构可终止竞争性磋商采购活动，发布项目终止公告并说明原因，重新开展采购活动：</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22.5.4.1因情况变化，不再符合规定的竞争性磋商采购方式适用情形的；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22.5.4.2出现影响采购公正的违法、违规行为的；</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22.5.4.3在采购过程中符合竞争要求的供应商或者报价未超过采购预算的供应商不足3家的。</w:t>
      </w:r>
    </w:p>
    <w:p>
      <w:pPr>
        <w:tabs>
          <w:tab w:val="left" w:pos="1305"/>
        </w:tabs>
        <w:spacing w:line="24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23.确定成交供应商办法</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23.1 采购代理机构应当在评审结束后2个工作日内将评审报告送采购人确认。采购人应当在收到评审报告后5个工作日内，从评审报告提出的成交候选人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名第一成交候选供应商为成交供应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23.2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将该情况报城中区政府采购监督管理部门。</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以上信息查询记录及相关证据与采购文件一并保存。</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磋商结果将在</w:t>
      </w:r>
      <w:r>
        <w:rPr>
          <w:rFonts w:hint="eastAsia" w:ascii="宋体" w:hAnsi="宋体" w:eastAsia="宋体" w:cs="宋体"/>
          <w:color w:val="auto"/>
          <w:sz w:val="24"/>
          <w:szCs w:val="24"/>
          <w:u w:val="single"/>
        </w:rPr>
        <w:t>中国政府采购网（http://www.ccgp.gov.cn/）、广西壮族自治区政府采购网（http://zfcg.gxzf.gov.cn/）、柳州市政府采购网（http://zfcg.lzscz.liuzhou.gov.cn/）</w:t>
      </w:r>
      <w:r>
        <w:rPr>
          <w:rFonts w:hint="eastAsia" w:ascii="宋体" w:hAnsi="宋体" w:eastAsia="宋体" w:cs="宋体"/>
          <w:color w:val="auto"/>
          <w:sz w:val="24"/>
          <w:szCs w:val="24"/>
        </w:rPr>
        <w:t>公布。</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23.3采购代理机构无义务向供应商退还磋商文件。</w:t>
      </w:r>
    </w:p>
    <w:p>
      <w:pPr>
        <w:tabs>
          <w:tab w:val="left" w:pos="1305"/>
        </w:tabs>
        <w:spacing w:line="24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24.质疑</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24.1供应商对成交结果有异议的，应当在成交公告期限届满之日起七个工作日内，以书面形式向采购人或采购代理机构提出质疑，并及时索要书面回执。</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24.2被质疑的采购人或采购代理机构（采购代理机构应当按照有关规定就采购人委托授权范围内的事项）在收到供应商的书面质疑后七个工作日内作出答复，但答复的内容不得涉及商业秘密。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24.3质疑、投诉应当采用书面形式，质疑函、投诉书均应明确阐述竞争性磋商文件、磋商过程或成交结果中使自己合法权益受到损害的实质性内容，提供相关事实依据和证据及其来源或线索，便于有关单位调查、答复和处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24.4质疑书面要求</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24.4.1质疑人质疑时须提交质疑书，质疑书至少包括下列主要内容：</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（1）供应商的姓名或名称、地址、邮编、联系人及联系电话；</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供应商为自然人的，应当由本人签字；供应商为法人或者其他组织的，应当由法定代表人(负责人、自然人)、主要负责人，或者其授权代表签字或者盖章，并加盖公章。</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如不按政府采购相关规定及上述要求质疑或投诉的，视为无效质疑或无效投诉，不予受理。</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25.成交供应商应在收到成交通知书发出之日起25日内，按磋商文件确定的合同文本及采购标的、规格型号、采购金额、采购数量、技术和服务要求等事项与采购人签订政府采购合同。</w:t>
      </w:r>
    </w:p>
    <w:p>
      <w:pPr>
        <w:tabs>
          <w:tab w:val="left" w:pos="1305"/>
        </w:tabs>
        <w:spacing w:line="24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26.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bookmarkEnd w:id="47"/>
    </w:p>
    <w:p>
      <w:pPr>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27.采购代理服务费</w:t>
      </w:r>
    </w:p>
    <w:p>
      <w:pPr>
        <w:spacing w:line="24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成交供应商领取成交通知书前，由成交供应商向招标代理机构一次性付清采购代理服务费。本项目的采购代理服务收费标准按计价格[2002]1980号《招标代理服务收费管理暂行办法》服务类收费标准收取。</w:t>
      </w:r>
    </w:p>
    <w:p>
      <w:pPr>
        <w:spacing w:line="240" w:lineRule="auto"/>
        <w:ind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28.适用法律</w:t>
      </w:r>
    </w:p>
    <w:p>
      <w:pPr>
        <w:bidi w:val="0"/>
        <w:spacing w:line="240" w:lineRule="auto"/>
        <w:rPr>
          <w:rFonts w:hint="eastAsia" w:ascii="宋体" w:hAnsi="宋体" w:eastAsia="宋体" w:cs="宋体"/>
          <w:color w:val="auto"/>
        </w:rPr>
      </w:pPr>
      <w:r>
        <w:rPr>
          <w:rFonts w:hint="eastAsia" w:ascii="宋体" w:hAnsi="宋体" w:eastAsia="宋体" w:cs="宋体"/>
          <w:bCs/>
          <w:color w:val="auto"/>
          <w:sz w:val="24"/>
          <w:szCs w:val="24"/>
        </w:rPr>
        <w:t>采购当事人的一切活动均适用于《中华人民共和国政府采购法》、《中华人民共和国政府采购法实施条例》、《</w:t>
      </w:r>
      <w:r>
        <w:rPr>
          <w:rFonts w:hint="eastAsia" w:ascii="宋体" w:hAnsi="宋体" w:eastAsia="宋体" w:cs="宋体"/>
          <w:color w:val="auto"/>
          <w:sz w:val="24"/>
          <w:szCs w:val="24"/>
        </w:rPr>
        <w:t>政府采购竞争性磋商采购方式管理暂行办法</w:t>
      </w:r>
      <w:r>
        <w:rPr>
          <w:rFonts w:hint="eastAsia" w:ascii="宋体" w:hAnsi="宋体" w:eastAsia="宋体" w:cs="宋体"/>
          <w:bCs/>
          <w:color w:val="auto"/>
          <w:sz w:val="24"/>
          <w:szCs w:val="24"/>
        </w:rPr>
        <w:t>》及相关规定。</w:t>
      </w:r>
    </w:p>
    <w:bookmarkEnd w:id="10"/>
    <w:bookmarkEnd w:id="11"/>
    <w:p>
      <w:pPr>
        <w:bidi w:val="0"/>
        <w:spacing w:line="360" w:lineRule="auto"/>
        <w:rPr>
          <w:rFonts w:hint="eastAsia" w:ascii="宋体" w:hAnsi="宋体" w:eastAsia="宋体" w:cs="宋体"/>
          <w:color w:val="auto"/>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3"/>
        <w:bidi w:val="0"/>
        <w:rPr>
          <w:rFonts w:hint="eastAsia" w:ascii="宋体" w:hAnsi="宋体" w:eastAsia="宋体" w:cs="宋体"/>
          <w:color w:val="auto"/>
          <w:lang w:val="en-US" w:eastAsia="zh-CN"/>
        </w:rPr>
      </w:pPr>
      <w:bookmarkStart w:id="65" w:name="_Toc18424520"/>
      <w:bookmarkStart w:id="66" w:name="_Toc18784"/>
      <w:r>
        <w:rPr>
          <w:rFonts w:hint="eastAsia" w:ascii="宋体" w:hAnsi="宋体" w:eastAsia="宋体" w:cs="宋体"/>
          <w:color w:val="auto"/>
          <w:lang w:val="en-US" w:eastAsia="zh-CN"/>
        </w:rPr>
        <w:t xml:space="preserve">第三章  </w:t>
      </w:r>
      <w:bookmarkEnd w:id="65"/>
      <w:r>
        <w:rPr>
          <w:rFonts w:hint="eastAsia" w:ascii="宋体" w:hAnsi="宋体" w:eastAsia="宋体" w:cs="宋体"/>
          <w:color w:val="auto"/>
          <w:lang w:val="en-US" w:eastAsia="zh-CN"/>
        </w:rPr>
        <w:t>项目采购需求</w:t>
      </w:r>
      <w:bookmarkEnd w:id="66"/>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说明：</w:t>
      </w:r>
    </w:p>
    <w:p>
      <w:pPr>
        <w:tabs>
          <w:tab w:val="left" w:pos="180"/>
          <w:tab w:val="left" w:pos="162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1.为落实政府采购政策需满足的要求（根据项目实际情况填写内容）</w:t>
      </w:r>
    </w:p>
    <w:p>
      <w:pPr>
        <w:tabs>
          <w:tab w:val="left" w:pos="180"/>
          <w:tab w:val="left" w:pos="162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（1）本竞争性磋商文件所称中小企业必须符合《政府采购促进中小企业发展管理办法》（财库〔2020〕46号）的规定（具体规定详见附件）。本项目所属行业为：信息技术服务。</w:t>
      </w:r>
    </w:p>
    <w:p>
      <w:pPr>
        <w:tabs>
          <w:tab w:val="left" w:pos="180"/>
          <w:tab w:val="left" w:pos="1620"/>
        </w:tabs>
        <w:spacing w:line="24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eastAsia="宋体" w:cs="宋体"/>
          <w:b/>
          <w:bCs/>
          <w:sz w:val="24"/>
          <w:szCs w:val="24"/>
        </w:rPr>
        <w:t>●</w:t>
      </w:r>
      <w:r>
        <w:rPr>
          <w:rFonts w:hint="eastAsia" w:ascii="宋体" w:hAnsi="宋体" w:eastAsia="宋体" w:cs="宋体"/>
          <w:sz w:val="24"/>
          <w:szCs w:val="24"/>
        </w:rPr>
        <w:t>”的，供应商必须在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文件中提供所</w:t>
      </w:r>
      <w:r>
        <w:rPr>
          <w:rFonts w:hint="eastAsia" w:ascii="宋体" w:hAnsi="宋体" w:eastAsia="宋体" w:cs="宋体"/>
          <w:sz w:val="24"/>
          <w:szCs w:val="24"/>
          <w:lang w:val="en-US" w:eastAsia="zh-CN"/>
        </w:rPr>
        <w:t>竞标</w:t>
      </w:r>
      <w:r>
        <w:rPr>
          <w:rFonts w:hint="eastAsia" w:ascii="宋体" w:hAnsi="宋体" w:eastAsia="宋体" w:cs="宋体"/>
          <w:sz w:val="24"/>
          <w:szCs w:val="24"/>
        </w:rPr>
        <w:t>产品的节能产品认证证书复印件（加盖供应商公章），否则</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文件作无效处理。如本项目包含的配套货物属于品目清单内非标注“</w:t>
      </w:r>
      <w:r>
        <w:rPr>
          <w:rFonts w:hint="eastAsia" w:ascii="宋体" w:hAnsi="宋体" w:eastAsia="宋体" w:cs="宋体"/>
          <w:b/>
          <w:bCs/>
          <w:sz w:val="24"/>
          <w:szCs w:val="24"/>
        </w:rPr>
        <w:t>●</w:t>
      </w:r>
      <w:r>
        <w:rPr>
          <w:rFonts w:hint="eastAsia" w:ascii="宋体" w:hAnsi="宋体" w:eastAsia="宋体" w:cs="宋体"/>
          <w:sz w:val="24"/>
          <w:szCs w:val="24"/>
        </w:rPr>
        <w:t>”的产品时，应优先采购，具体详见“第四章 评审程序、评审方法和评审标准”。</w:t>
      </w:r>
    </w:p>
    <w:p>
      <w:pPr>
        <w:spacing w:line="24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本“服务需求一览表”中标注“▲”项的条款均为实质性要求，若有任意一项负偏离则响应文件作无效处理；标注“★”的条款为重要技术指标、功能项，将作为评审依据。</w:t>
      </w:r>
    </w:p>
    <w:p>
      <w:pPr>
        <w:bidi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如供应商的</w:t>
      </w:r>
      <w:r>
        <w:rPr>
          <w:rFonts w:hint="eastAsia" w:ascii="宋体" w:hAnsi="宋体" w:eastAsia="宋体" w:cs="宋体"/>
          <w:sz w:val="24"/>
          <w:szCs w:val="24"/>
          <w:lang w:val="en-US" w:eastAsia="zh-CN"/>
        </w:rPr>
        <w:t>竞</w:t>
      </w:r>
      <w:r>
        <w:rPr>
          <w:rFonts w:hint="eastAsia" w:ascii="宋体" w:hAnsi="宋体" w:eastAsia="宋体" w:cs="宋体"/>
          <w:sz w:val="24"/>
          <w:szCs w:val="24"/>
        </w:rPr>
        <w:t>标货物或服务成果存在侵犯他人的知识产权或者专利成果行为的，应承担相应法律责任。</w:t>
      </w:r>
    </w:p>
    <w:p>
      <w:pPr>
        <w:bidi w:val="0"/>
        <w:spacing w:line="360" w:lineRule="auto"/>
        <w:ind w:firstLine="480" w:firstLineChars="200"/>
        <w:rPr>
          <w:rFonts w:hint="eastAsia" w:ascii="宋体" w:hAnsi="宋体" w:eastAsia="宋体" w:cs="宋体"/>
          <w:sz w:val="24"/>
          <w:szCs w:val="24"/>
          <w:lang w:val="en-US" w:eastAsia="zh-CN"/>
        </w:rPr>
      </w:pPr>
    </w:p>
    <w:tbl>
      <w:tblPr>
        <w:tblStyle w:val="25"/>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
        <w:gridCol w:w="1457"/>
        <w:gridCol w:w="600"/>
        <w:gridCol w:w="514"/>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9639" w:type="dxa"/>
            <w:gridSpan w:val="5"/>
            <w:vAlign w:val="center"/>
          </w:tcPr>
          <w:p>
            <w:pPr>
              <w:tabs>
                <w:tab w:val="left" w:pos="180"/>
                <w:tab w:val="left" w:pos="1620"/>
              </w:tabs>
              <w:snapToGrid w:val="0"/>
              <w:spacing w:line="400" w:lineRule="exact"/>
              <w:ind w:firstLine="0" w:firstLineChars="0"/>
              <w:jc w:val="center"/>
              <w:rPr>
                <w:rFonts w:ascii="宋体" w:hAnsi="宋体"/>
                <w:b/>
                <w:bCs/>
                <w:highlight w:val="none"/>
              </w:rPr>
            </w:pPr>
            <w:r>
              <w:rPr>
                <w:rFonts w:hint="eastAsia" w:ascii="宋体" w:hAnsi="宋体" w:cs="宋体"/>
                <w:b/>
                <w:highlight w:val="none"/>
              </w:rPr>
              <w:t>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9639" w:type="dxa"/>
            <w:gridSpan w:val="5"/>
            <w:vAlign w:val="center"/>
          </w:tcPr>
          <w:p>
            <w:pPr>
              <w:tabs>
                <w:tab w:val="left" w:pos="180"/>
                <w:tab w:val="left" w:pos="1620"/>
              </w:tabs>
              <w:snapToGrid w:val="0"/>
              <w:spacing w:line="400" w:lineRule="exact"/>
              <w:ind w:firstLine="0" w:firstLineChars="0"/>
              <w:rPr>
                <w:rFonts w:ascii="宋体" w:hAnsi="宋体"/>
                <w:highlight w:val="none"/>
              </w:rPr>
            </w:pPr>
            <w:r>
              <w:rPr>
                <w:rFonts w:hint="eastAsia" w:ascii="宋体" w:hAnsi="宋体"/>
                <w:b/>
                <w:bCs/>
                <w:highlight w:val="none"/>
              </w:rPr>
              <w:t>一、采购清单及技术参数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82" w:type="dxa"/>
            <w:vAlign w:val="center"/>
          </w:tcPr>
          <w:p>
            <w:pPr>
              <w:tabs>
                <w:tab w:val="left" w:pos="180"/>
                <w:tab w:val="left" w:pos="1620"/>
              </w:tabs>
              <w:snapToGrid w:val="0"/>
              <w:spacing w:line="400" w:lineRule="exact"/>
              <w:ind w:firstLine="0" w:firstLineChars="0"/>
              <w:jc w:val="center"/>
              <w:rPr>
                <w:rFonts w:ascii="宋体" w:hAnsi="宋体" w:cs="宋体"/>
                <w:highlight w:val="none"/>
              </w:rPr>
            </w:pPr>
            <w:r>
              <w:rPr>
                <w:rFonts w:hint="eastAsia" w:ascii="宋体" w:hAnsi="宋体" w:cs="宋体"/>
                <w:highlight w:val="none"/>
              </w:rPr>
              <w:t>序号</w:t>
            </w:r>
          </w:p>
        </w:tc>
        <w:tc>
          <w:tcPr>
            <w:tcW w:w="1457" w:type="dxa"/>
            <w:vAlign w:val="center"/>
          </w:tcPr>
          <w:p>
            <w:pPr>
              <w:tabs>
                <w:tab w:val="left" w:pos="180"/>
                <w:tab w:val="left" w:pos="1620"/>
              </w:tabs>
              <w:snapToGrid w:val="0"/>
              <w:spacing w:line="400" w:lineRule="exact"/>
              <w:ind w:firstLine="0" w:firstLineChars="0"/>
              <w:jc w:val="center"/>
              <w:rPr>
                <w:rFonts w:ascii="宋体" w:hAnsi="宋体" w:cs="宋体"/>
                <w:highlight w:val="none"/>
              </w:rPr>
            </w:pPr>
            <w:r>
              <w:rPr>
                <w:rFonts w:hint="eastAsia" w:ascii="宋体" w:hAnsi="宋体" w:cs="宋体"/>
                <w:highlight w:val="none"/>
              </w:rPr>
              <w:t>标的名称</w:t>
            </w:r>
          </w:p>
        </w:tc>
        <w:tc>
          <w:tcPr>
            <w:tcW w:w="600" w:type="dxa"/>
            <w:tcBorders>
              <w:right w:val="single" w:color="auto" w:sz="4" w:space="0"/>
            </w:tcBorders>
            <w:vAlign w:val="center"/>
          </w:tcPr>
          <w:p>
            <w:pPr>
              <w:tabs>
                <w:tab w:val="left" w:pos="180"/>
                <w:tab w:val="left" w:pos="1620"/>
              </w:tabs>
              <w:snapToGrid w:val="0"/>
              <w:spacing w:line="400" w:lineRule="exact"/>
              <w:ind w:firstLine="0" w:firstLineChars="0"/>
              <w:jc w:val="center"/>
              <w:rPr>
                <w:rFonts w:ascii="宋体" w:hAnsi="宋体" w:cs="宋体"/>
                <w:highlight w:val="none"/>
              </w:rPr>
            </w:pPr>
            <w:r>
              <w:rPr>
                <w:rFonts w:hint="eastAsia" w:ascii="宋体" w:hAnsi="宋体" w:cs="宋体"/>
                <w:highlight w:val="none"/>
              </w:rPr>
              <w:t>数量</w:t>
            </w:r>
          </w:p>
        </w:tc>
        <w:tc>
          <w:tcPr>
            <w:tcW w:w="514" w:type="dxa"/>
            <w:tcBorders>
              <w:left w:val="single" w:color="auto" w:sz="4" w:space="0"/>
            </w:tcBorders>
            <w:vAlign w:val="center"/>
          </w:tcPr>
          <w:p>
            <w:pPr>
              <w:tabs>
                <w:tab w:val="left" w:pos="180"/>
                <w:tab w:val="left" w:pos="1620"/>
              </w:tabs>
              <w:snapToGrid w:val="0"/>
              <w:spacing w:line="400" w:lineRule="exact"/>
              <w:ind w:firstLine="0" w:firstLineChars="0"/>
              <w:jc w:val="center"/>
              <w:rPr>
                <w:rFonts w:ascii="宋体" w:hAnsi="宋体" w:cs="宋体"/>
                <w:highlight w:val="none"/>
              </w:rPr>
            </w:pPr>
            <w:r>
              <w:rPr>
                <w:rFonts w:hint="eastAsia" w:ascii="宋体" w:hAnsi="宋体" w:cs="宋体"/>
                <w:highlight w:val="none"/>
              </w:rPr>
              <w:t>单位</w:t>
            </w:r>
          </w:p>
        </w:tc>
        <w:tc>
          <w:tcPr>
            <w:tcW w:w="6586" w:type="dxa"/>
            <w:vAlign w:val="center"/>
          </w:tcPr>
          <w:p>
            <w:pPr>
              <w:tabs>
                <w:tab w:val="left" w:pos="180"/>
                <w:tab w:val="left" w:pos="1620"/>
              </w:tabs>
              <w:snapToGrid w:val="0"/>
              <w:spacing w:line="400" w:lineRule="exact"/>
              <w:ind w:firstLine="0" w:firstLineChars="0"/>
              <w:jc w:val="center"/>
              <w:rPr>
                <w:rFonts w:ascii="宋体" w:hAnsi="宋体" w:cs="宋体"/>
                <w:highlight w:val="none"/>
              </w:rPr>
            </w:pPr>
            <w:r>
              <w:rPr>
                <w:rFonts w:hint="eastAsia" w:ascii="宋体" w:hAnsi="宋体"/>
                <w:highlight w:val="none"/>
              </w:rPr>
              <w:t>服务要求及质量要求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2" w:type="dxa"/>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1</w:t>
            </w:r>
          </w:p>
        </w:tc>
        <w:tc>
          <w:tcPr>
            <w:tcW w:w="1457" w:type="dxa"/>
            <w:vAlign w:val="center"/>
          </w:tcPr>
          <w:p>
            <w:pPr>
              <w:widowControl/>
              <w:snapToGrid w:val="0"/>
              <w:spacing w:line="400" w:lineRule="exact"/>
              <w:ind w:firstLine="0" w:firstLineChars="0"/>
              <w:jc w:val="center"/>
              <w:rPr>
                <w:rFonts w:ascii="宋体" w:hAnsi="宋体" w:cs="宋体"/>
                <w:kern w:val="0"/>
                <w:highlight w:val="none"/>
                <w:lang w:bidi="ar"/>
              </w:rPr>
            </w:pPr>
            <w:r>
              <w:rPr>
                <w:rFonts w:hint="eastAsia" w:ascii="宋体" w:hAnsi="宋体" w:cs="宋体"/>
                <w:kern w:val="0"/>
                <w:highlight w:val="none"/>
                <w:lang w:bidi="ar"/>
              </w:rPr>
              <w:t>县应急指挥中心能力提升服务</w:t>
            </w:r>
          </w:p>
        </w:tc>
        <w:tc>
          <w:tcPr>
            <w:tcW w:w="600" w:type="dxa"/>
            <w:tcBorders>
              <w:righ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1</w:t>
            </w:r>
          </w:p>
        </w:tc>
        <w:tc>
          <w:tcPr>
            <w:tcW w:w="514" w:type="dxa"/>
            <w:tcBorders>
              <w:lef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项</w:t>
            </w:r>
          </w:p>
        </w:tc>
        <w:tc>
          <w:tcPr>
            <w:tcW w:w="6586" w:type="dxa"/>
            <w:vAlign w:val="center"/>
          </w:tcPr>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一、服务总体需求</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1、</w:t>
            </w:r>
            <w:r>
              <w:rPr>
                <w:rFonts w:hint="eastAsia" w:ascii="宋体" w:hAnsi="宋体" w:cs="宋体"/>
                <w:kern w:val="0"/>
                <w:highlight w:val="none"/>
                <w:lang w:bidi="ar"/>
              </w:rPr>
              <w:t>指挥中心显示系统服务</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应急指挥中心</w:t>
            </w:r>
            <w:r>
              <w:rPr>
                <w:rFonts w:hint="eastAsia" w:ascii="宋体" w:hAnsi="宋体" w:cs="宋体"/>
                <w:kern w:val="0"/>
                <w:highlight w:val="none"/>
                <w:lang w:bidi="ar"/>
              </w:rPr>
              <w:t>显示系统服务，能够对</w:t>
            </w:r>
            <w:r>
              <w:rPr>
                <w:rFonts w:hint="eastAsia" w:ascii="宋体" w:hAnsi="宋体" w:cs="宋体"/>
                <w:highlight w:val="none"/>
              </w:rPr>
              <w:t>全县应急事件处置、应急指挥调度、会商研判、安委办日常会议、防汛办日常会议、应急管理局的工作会议的应急工作提供实时协作高清显示服务。</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2、音视频融合系统接入服务</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音视频融合接入系统对视频会议终端、计算机、摄像机等多种音视频设备进行相互交换信号，将音视频信号融合切换到视频会议终端及大屏显示系统，该需求需要通过一套音视频融合系统来完成，实现音视频信号矩阵切换、远距离互联互通传输、视频拼接处理、集中控制等功能。</w:t>
            </w:r>
          </w:p>
          <w:p>
            <w:pPr>
              <w:widowControl/>
              <w:snapToGrid w:val="0"/>
              <w:spacing w:line="360" w:lineRule="auto"/>
              <w:ind w:right="43" w:rightChars="18" w:firstLine="480"/>
              <w:jc w:val="left"/>
              <w:rPr>
                <w:rFonts w:ascii="宋体" w:hAnsi="宋体" w:cs="宋体"/>
                <w:kern w:val="0"/>
                <w:highlight w:val="none"/>
                <w:lang w:bidi="ar"/>
              </w:rPr>
            </w:pPr>
            <w:r>
              <w:rPr>
                <w:rFonts w:ascii="宋体" w:hAnsi="宋体" w:cs="宋体"/>
                <w:kern w:val="0"/>
                <w:highlight w:val="none"/>
                <w:lang w:bidi="ar"/>
              </w:rPr>
              <w:t>3</w:t>
            </w:r>
            <w:r>
              <w:rPr>
                <w:rFonts w:hint="eastAsia" w:ascii="宋体" w:hAnsi="宋体" w:cs="宋体"/>
                <w:kern w:val="0"/>
                <w:highlight w:val="none"/>
                <w:lang w:bidi="ar"/>
              </w:rPr>
              <w:t>、音频扩声系统升级服务</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音频扩声系统升级服务，基于IP网络，对音频、监控、电脑等资源进行全面整合，满足不同信号的接入与分发，实现互联互通。在不同场景使用过程中可以随时调用任意音频信号资源，解决不同设备之间的信号传输难题，便捷使用，实现音频互联互通、智能控制和场景一键调度，为应急指挥更加便捷的应用体验。</w:t>
            </w:r>
          </w:p>
          <w:p>
            <w:pPr>
              <w:widowControl/>
              <w:snapToGrid w:val="0"/>
              <w:spacing w:line="360" w:lineRule="auto"/>
              <w:ind w:right="43" w:rightChars="18" w:firstLine="480"/>
              <w:jc w:val="left"/>
              <w:rPr>
                <w:rFonts w:ascii="宋体" w:hAnsi="宋体" w:cs="宋体"/>
                <w:kern w:val="0"/>
                <w:highlight w:val="none"/>
                <w:lang w:bidi="ar"/>
              </w:rPr>
            </w:pPr>
            <w:r>
              <w:rPr>
                <w:rFonts w:ascii="宋体" w:hAnsi="宋体" w:cs="宋体"/>
                <w:kern w:val="0"/>
                <w:highlight w:val="none"/>
                <w:lang w:bidi="ar"/>
              </w:rPr>
              <w:t>4</w:t>
            </w:r>
            <w:r>
              <w:rPr>
                <w:rFonts w:hint="eastAsia" w:ascii="宋体" w:hAnsi="宋体" w:cs="宋体"/>
                <w:kern w:val="0"/>
                <w:highlight w:val="none"/>
                <w:lang w:bidi="ar"/>
              </w:rPr>
              <w:t>、安全系统升级服务</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安全系统升级服务，设计在接入指挥中心的电子政务外网、指挥信息网、互联网三个网络边界部署安全防护系统，在内部网络与外部网络之间形成一道安全保护屏障，防止非法用户访问内部网络上的资源和非法向外传递内部信息，同时也防止非法和恶意的网络行为破坏内部网络。</w:t>
            </w:r>
          </w:p>
          <w:p>
            <w:pPr>
              <w:widowControl/>
              <w:snapToGrid w:val="0"/>
              <w:spacing w:line="360" w:lineRule="auto"/>
              <w:ind w:right="43" w:rightChars="18" w:firstLine="480"/>
              <w:jc w:val="left"/>
              <w:rPr>
                <w:rFonts w:ascii="宋体" w:hAnsi="宋体" w:cs="宋体"/>
                <w:kern w:val="0"/>
                <w:highlight w:val="none"/>
                <w:lang w:bidi="ar"/>
              </w:rPr>
            </w:pPr>
            <w:r>
              <w:rPr>
                <w:rFonts w:ascii="宋体" w:hAnsi="宋体" w:cs="宋体"/>
                <w:kern w:val="0"/>
                <w:highlight w:val="none"/>
                <w:lang w:bidi="ar"/>
              </w:rPr>
              <w:t>5</w:t>
            </w:r>
            <w:r>
              <w:rPr>
                <w:rFonts w:hint="eastAsia" w:ascii="宋体" w:hAnsi="宋体" w:cs="宋体"/>
                <w:kern w:val="0"/>
                <w:highlight w:val="none"/>
                <w:lang w:bidi="ar"/>
              </w:rPr>
              <w:t>、综合传输系统服务</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综合传输系统服务设计满足指挥中心等场所信息通信的要求，支持语音、数据、图像等多种信息的传输。系统具有开放性、灵活性、可扩展性、实用性、安全性、可靠性和经济性的特点，适应今后网络和通信技术高速发展的要求。满足各相关部门对机房、管线、路由以及智能化系统的增加、改造等需求，满足通信网络系统的互联及建筑群统一规划建设的需求。</w:t>
            </w:r>
          </w:p>
          <w:p>
            <w:pPr>
              <w:widowControl/>
              <w:snapToGrid w:val="0"/>
              <w:spacing w:line="360" w:lineRule="auto"/>
              <w:ind w:right="43" w:rightChars="18" w:firstLine="480"/>
              <w:jc w:val="left"/>
              <w:rPr>
                <w:rFonts w:ascii="宋体" w:hAnsi="宋体" w:cs="宋体"/>
                <w:kern w:val="0"/>
                <w:highlight w:val="none"/>
              </w:rPr>
            </w:pPr>
            <w:r>
              <w:rPr>
                <w:rFonts w:ascii="宋体" w:hAnsi="宋体" w:cs="宋体"/>
                <w:kern w:val="0"/>
                <w:highlight w:val="none"/>
                <w:lang w:bidi="ar"/>
              </w:rPr>
              <w:t>6</w:t>
            </w:r>
            <w:r>
              <w:rPr>
                <w:rFonts w:hint="eastAsia" w:ascii="宋体" w:hAnsi="宋体" w:cs="宋体"/>
                <w:kern w:val="0"/>
                <w:highlight w:val="none"/>
                <w:lang w:bidi="ar"/>
              </w:rPr>
              <w:t>、</w:t>
            </w:r>
            <w:r>
              <w:rPr>
                <w:rFonts w:hint="eastAsia" w:ascii="宋体" w:hAnsi="宋体" w:cs="宋体"/>
                <w:kern w:val="0"/>
                <w:highlight w:val="none"/>
              </w:rPr>
              <w:t>应急指挥中心配套服务</w:t>
            </w:r>
          </w:p>
          <w:p>
            <w:pPr>
              <w:widowControl/>
              <w:snapToGrid w:val="0"/>
              <w:spacing w:line="360" w:lineRule="auto"/>
              <w:ind w:right="43" w:rightChars="18" w:firstLine="480"/>
              <w:jc w:val="left"/>
              <w:rPr>
                <w:rFonts w:ascii="宋体" w:hAnsi="宋体" w:cs="宋体"/>
                <w:kern w:val="0"/>
                <w:highlight w:val="none"/>
              </w:rPr>
            </w:pPr>
            <w:r>
              <w:rPr>
                <w:rFonts w:hint="eastAsia" w:ascii="宋体" w:hAnsi="宋体" w:cs="宋体"/>
                <w:kern w:val="0"/>
                <w:highlight w:val="none"/>
              </w:rPr>
              <w:t>应急指挥中心配套服务，针对不断变化的应急指挥救援场景，不断发展的科学技术，提供数字化协同作战指挥赋能提升。同时借助先进计算机和网络信息技术，实现了高效、安全、规范地应急指挥救援事件工作，大幅度提高工作效率和质量。</w:t>
            </w:r>
          </w:p>
          <w:p>
            <w:pPr>
              <w:widowControl/>
              <w:snapToGrid w:val="0"/>
              <w:spacing w:line="360" w:lineRule="auto"/>
              <w:ind w:right="43" w:rightChars="18" w:firstLine="480"/>
              <w:jc w:val="left"/>
              <w:rPr>
                <w:rFonts w:ascii="宋体" w:hAnsi="宋体" w:cs="宋体"/>
                <w:kern w:val="0"/>
                <w:highlight w:val="none"/>
              </w:rPr>
            </w:pPr>
            <w:r>
              <w:rPr>
                <w:rFonts w:hint="eastAsia" w:ascii="宋体" w:hAnsi="宋体" w:cs="宋体"/>
                <w:kern w:val="0"/>
                <w:highlight w:val="none"/>
              </w:rPr>
              <w:t>7、乡镇应急指挥中心服务</w:t>
            </w:r>
          </w:p>
          <w:p>
            <w:pPr>
              <w:widowControl/>
              <w:snapToGrid w:val="0"/>
              <w:spacing w:line="360" w:lineRule="auto"/>
              <w:ind w:right="43" w:rightChars="18" w:firstLine="480"/>
              <w:jc w:val="left"/>
              <w:rPr>
                <w:rFonts w:ascii="宋体" w:hAnsi="宋体" w:cs="宋体"/>
                <w:kern w:val="0"/>
                <w:highlight w:val="none"/>
              </w:rPr>
            </w:pPr>
            <w:r>
              <w:rPr>
                <w:rFonts w:hint="eastAsia" w:ascii="宋体" w:hAnsi="宋体" w:cs="宋体"/>
                <w:kern w:val="0"/>
                <w:highlight w:val="none"/>
              </w:rPr>
              <w:t>乡镇应急指挥中心，可供乡镇日常监控、乡镇应急指挥调度，可随时对突发现场信号和各类计算机图文信号进行多画面显示，满足高清电视电话会议、高清监控显示等多业务的高清显示的需求。</w:t>
            </w:r>
          </w:p>
          <w:p>
            <w:pPr>
              <w:snapToGrid w:val="0"/>
              <w:spacing w:line="360" w:lineRule="auto"/>
              <w:ind w:firstLine="480"/>
              <w:rPr>
                <w:rFonts w:ascii="宋体" w:hAnsi="宋体" w:cs="宋体"/>
                <w:highlight w:val="none"/>
              </w:rPr>
            </w:pPr>
            <w:r>
              <w:rPr>
                <w:rFonts w:hint="eastAsia" w:ascii="宋体" w:hAnsi="宋体" w:cs="宋体"/>
                <w:highlight w:val="none"/>
              </w:rPr>
              <w:t>二、服务要求配套</w:t>
            </w:r>
          </w:p>
          <w:p>
            <w:pPr>
              <w:snapToGrid w:val="0"/>
              <w:spacing w:line="360" w:lineRule="auto"/>
              <w:ind w:firstLine="480"/>
              <w:rPr>
                <w:rFonts w:ascii="宋体" w:hAnsi="宋体" w:cs="宋体"/>
                <w:highlight w:val="none"/>
              </w:rPr>
            </w:pPr>
            <w:r>
              <w:rPr>
                <w:rFonts w:hint="eastAsia" w:ascii="宋体" w:hAnsi="宋体" w:cs="宋体"/>
                <w:highlight w:val="none"/>
              </w:rPr>
              <w:t>1、</w:t>
            </w:r>
            <w:r>
              <w:rPr>
                <w:rFonts w:hint="eastAsia" w:ascii="宋体" w:hAnsi="宋体" w:cs="宋体"/>
                <w:kern w:val="0"/>
                <w:highlight w:val="none"/>
                <w:lang w:bidi="ar"/>
              </w:rPr>
              <w:t>指挥中心显示系统服务</w:t>
            </w:r>
            <w:r>
              <w:rPr>
                <w:rFonts w:hint="eastAsia" w:ascii="宋体" w:hAnsi="宋体" w:cs="宋体"/>
                <w:highlight w:val="none"/>
              </w:rPr>
              <w:t>配套</w:t>
            </w:r>
          </w:p>
          <w:p>
            <w:pPr>
              <w:snapToGrid w:val="0"/>
              <w:spacing w:line="360" w:lineRule="auto"/>
              <w:ind w:firstLine="480"/>
              <w:rPr>
                <w:rFonts w:ascii="宋体" w:hAnsi="宋体" w:cs="宋体"/>
                <w:highlight w:val="none"/>
              </w:rPr>
            </w:pPr>
            <w:r>
              <w:rPr>
                <w:rFonts w:hint="eastAsia" w:ascii="宋体" w:hAnsi="宋体" w:cs="宋体"/>
                <w:highlight w:val="none"/>
              </w:rPr>
              <w:t>①应急指挥中心显示系统场所配套1项，包括应急指挥大厅、值班值守室、会商研判室、综合控制室、视频会议室、设备间、物资器材室等场所配套。</w:t>
            </w:r>
          </w:p>
          <w:p>
            <w:pPr>
              <w:snapToGrid w:val="0"/>
              <w:spacing w:line="360" w:lineRule="auto"/>
              <w:ind w:firstLine="480"/>
              <w:rPr>
                <w:rFonts w:ascii="宋体" w:hAnsi="宋体" w:cs="宋体"/>
                <w:highlight w:val="none"/>
              </w:rPr>
            </w:pPr>
            <w:r>
              <w:rPr>
                <w:rFonts w:hint="eastAsia" w:ascii="宋体" w:hAnsi="宋体" w:cs="宋体"/>
                <w:highlight w:val="none"/>
              </w:rPr>
              <w:t>②应急拼接大屏显示系统1项，</w:t>
            </w:r>
          </w:p>
          <w:p>
            <w:pPr>
              <w:snapToGrid w:val="0"/>
              <w:spacing w:line="360" w:lineRule="auto"/>
              <w:ind w:firstLine="480"/>
              <w:rPr>
                <w:rFonts w:ascii="宋体" w:hAnsi="宋体" w:cs="宋体"/>
                <w:highlight w:val="none"/>
              </w:rPr>
            </w:pPr>
            <w:r>
              <w:rPr>
                <w:rFonts w:hint="eastAsia" w:ascii="宋体" w:hAnsi="宋体" w:cs="宋体"/>
                <w:highlight w:val="none"/>
              </w:rPr>
              <w:t>LED灯珠采用SMD 表贴封装；</w:t>
            </w:r>
          </w:p>
          <w:p>
            <w:pPr>
              <w:snapToGrid w:val="0"/>
              <w:spacing w:line="360" w:lineRule="auto"/>
              <w:ind w:firstLine="480"/>
              <w:rPr>
                <w:rFonts w:ascii="宋体" w:hAnsi="宋体" w:cs="宋体"/>
                <w:highlight w:val="none"/>
              </w:rPr>
            </w:pPr>
            <w:r>
              <w:rPr>
                <w:rFonts w:hint="eastAsia" w:ascii="宋体" w:hAnsi="宋体" w:cs="宋体"/>
                <w:highlight w:val="none"/>
              </w:rPr>
              <w:t>点间距≤1.538mm；刷新率≥3840Hz；</w:t>
            </w:r>
          </w:p>
          <w:p>
            <w:pPr>
              <w:snapToGrid w:val="0"/>
              <w:spacing w:line="360" w:lineRule="auto"/>
              <w:ind w:firstLine="480"/>
              <w:rPr>
                <w:rFonts w:ascii="宋体" w:hAnsi="宋体" w:cs="宋体"/>
                <w:highlight w:val="none"/>
              </w:rPr>
            </w:pPr>
            <w:r>
              <w:rPr>
                <w:rFonts w:hint="eastAsia" w:ascii="宋体" w:hAnsi="宋体" w:cs="宋体"/>
                <w:highlight w:val="none"/>
              </w:rPr>
              <w:t>像素密度≥422500点/平米；</w:t>
            </w:r>
          </w:p>
          <w:p>
            <w:pPr>
              <w:snapToGrid w:val="0"/>
              <w:spacing w:line="360" w:lineRule="auto"/>
              <w:ind w:firstLine="480"/>
              <w:rPr>
                <w:rFonts w:ascii="宋体" w:hAnsi="宋体" w:cs="宋体"/>
                <w:highlight w:val="none"/>
              </w:rPr>
            </w:pPr>
            <w:r>
              <w:rPr>
                <w:rFonts w:hint="eastAsia" w:ascii="宋体" w:hAnsi="宋体" w:cs="宋体"/>
                <w:highlight w:val="none"/>
              </w:rPr>
              <w:t>维护方式：全前维护、支持磁吸固定方式；</w:t>
            </w:r>
          </w:p>
          <w:p>
            <w:pPr>
              <w:snapToGrid w:val="0"/>
              <w:spacing w:line="360" w:lineRule="auto"/>
              <w:ind w:firstLine="480"/>
              <w:rPr>
                <w:rFonts w:ascii="宋体" w:hAnsi="宋体" w:cs="宋体"/>
                <w:highlight w:val="none"/>
              </w:rPr>
            </w:pPr>
            <w:r>
              <w:rPr>
                <w:rFonts w:hint="eastAsia" w:ascii="宋体" w:hAnsi="宋体" w:cs="宋体"/>
                <w:highlight w:val="none"/>
              </w:rPr>
              <w:t>整机、内部线材阻燃等级达到V-1级；PCB板电路板、套件（塑料面板、面罩）阻燃达到UL94 V-0级；塑胶件阻燃符合V-0级；</w:t>
            </w:r>
          </w:p>
          <w:p>
            <w:pPr>
              <w:snapToGrid w:val="0"/>
              <w:spacing w:line="360" w:lineRule="auto"/>
              <w:ind w:firstLine="480"/>
              <w:rPr>
                <w:rFonts w:ascii="宋体" w:hAnsi="宋体" w:cs="宋体"/>
                <w:highlight w:val="none"/>
              </w:rPr>
            </w:pPr>
            <w:r>
              <w:rPr>
                <w:rFonts w:hint="eastAsia" w:ascii="宋体" w:hAnsi="宋体" w:cs="宋体"/>
                <w:highlight w:val="none"/>
              </w:rPr>
              <w:t>亮度≥800cd/㎡；亮度均匀性≥99%；</w:t>
            </w:r>
          </w:p>
          <w:p>
            <w:pPr>
              <w:snapToGrid w:val="0"/>
              <w:spacing w:line="360" w:lineRule="auto"/>
              <w:ind w:firstLine="480"/>
              <w:rPr>
                <w:rFonts w:ascii="宋体" w:hAnsi="宋体" w:cs="宋体"/>
                <w:highlight w:val="none"/>
              </w:rPr>
            </w:pPr>
            <w:r>
              <w:rPr>
                <w:rFonts w:hint="eastAsia" w:ascii="宋体" w:hAnsi="宋体" w:cs="宋体"/>
                <w:highlight w:val="none"/>
              </w:rPr>
              <w:t>对比度≥9000:1；</w:t>
            </w:r>
          </w:p>
          <w:p>
            <w:pPr>
              <w:snapToGrid w:val="0"/>
              <w:spacing w:line="360" w:lineRule="auto"/>
              <w:ind w:firstLine="480"/>
              <w:rPr>
                <w:rFonts w:ascii="宋体" w:hAnsi="宋体" w:cs="宋体"/>
                <w:highlight w:val="none"/>
              </w:rPr>
            </w:pPr>
            <w:r>
              <w:rPr>
                <w:rFonts w:hint="eastAsia" w:ascii="宋体" w:hAnsi="宋体" w:cs="宋体"/>
                <w:highlight w:val="none"/>
              </w:rPr>
              <w:t>支持软件实现不同亮度情况下，灰度8-18bit任意设置0-100%亮度时，8-16bit任意灰度设置；</w:t>
            </w:r>
          </w:p>
          <w:p>
            <w:pPr>
              <w:snapToGrid w:val="0"/>
              <w:spacing w:line="360" w:lineRule="auto"/>
              <w:ind w:firstLine="480"/>
              <w:rPr>
                <w:rFonts w:ascii="宋体" w:hAnsi="宋体" w:cs="宋体"/>
                <w:highlight w:val="none"/>
              </w:rPr>
            </w:pPr>
            <w:r>
              <w:rPr>
                <w:rFonts w:hint="eastAsia" w:ascii="宋体" w:hAnsi="宋体" w:cs="宋体"/>
                <w:highlight w:val="none"/>
              </w:rPr>
              <w:t>套件材料采用聚碳酸酯和玻璃纤维材质，内部线材使用低烟无卤素环保线材；</w:t>
            </w:r>
          </w:p>
          <w:p>
            <w:pPr>
              <w:snapToGrid w:val="0"/>
              <w:spacing w:line="360" w:lineRule="auto"/>
              <w:ind w:firstLine="480"/>
              <w:rPr>
                <w:rFonts w:ascii="宋体" w:hAnsi="宋体" w:cs="宋体"/>
                <w:highlight w:val="none"/>
              </w:rPr>
            </w:pPr>
            <w:r>
              <w:rPr>
                <w:rFonts w:hint="eastAsia" w:ascii="宋体" w:hAnsi="宋体" w:cs="宋体"/>
                <w:highlight w:val="none"/>
              </w:rPr>
              <w:t>★色度均匀性：±0.001 之内；</w:t>
            </w:r>
          </w:p>
          <w:p>
            <w:pPr>
              <w:snapToGrid w:val="0"/>
              <w:spacing w:line="360" w:lineRule="auto"/>
              <w:ind w:firstLine="480"/>
              <w:rPr>
                <w:rFonts w:ascii="宋体" w:hAnsi="宋体" w:cs="宋体"/>
                <w:highlight w:val="none"/>
              </w:rPr>
            </w:pPr>
            <w:r>
              <w:rPr>
                <w:rFonts w:hint="eastAsia" w:ascii="宋体" w:hAnsi="宋体" w:cs="宋体"/>
                <w:highlight w:val="none"/>
              </w:rPr>
              <w:t>发光点中心距偏差 ≤0.8%；</w:t>
            </w:r>
          </w:p>
          <w:p>
            <w:pPr>
              <w:snapToGrid w:val="0"/>
              <w:spacing w:line="360" w:lineRule="auto"/>
              <w:ind w:firstLine="480"/>
              <w:rPr>
                <w:rFonts w:ascii="宋体" w:hAnsi="宋体" w:cs="宋体"/>
                <w:highlight w:val="none"/>
              </w:rPr>
            </w:pPr>
            <w:r>
              <w:rPr>
                <w:rFonts w:hint="eastAsia" w:ascii="宋体" w:hAnsi="宋体" w:cs="宋体"/>
                <w:highlight w:val="none"/>
              </w:rPr>
              <w:t>平整度≤0.05mm；</w:t>
            </w:r>
          </w:p>
          <w:p>
            <w:pPr>
              <w:snapToGrid w:val="0"/>
              <w:spacing w:line="360" w:lineRule="auto"/>
              <w:ind w:firstLine="480"/>
              <w:rPr>
                <w:rFonts w:ascii="宋体" w:hAnsi="宋体" w:cs="宋体"/>
                <w:highlight w:val="none"/>
              </w:rPr>
            </w:pPr>
            <w:r>
              <w:rPr>
                <w:rFonts w:hint="eastAsia" w:ascii="宋体" w:hAnsi="宋体" w:cs="宋体"/>
                <w:highlight w:val="none"/>
              </w:rPr>
              <w:t>具有HDR显示技术：依据CESI/TS 008-2019 标准，支持HDR 高动态光照渲染技术；</w:t>
            </w:r>
          </w:p>
          <w:p>
            <w:pPr>
              <w:snapToGrid w:val="0"/>
              <w:spacing w:line="360" w:lineRule="auto"/>
              <w:ind w:firstLine="480"/>
              <w:rPr>
                <w:rFonts w:ascii="宋体" w:hAnsi="宋体" w:cs="宋体"/>
                <w:highlight w:val="none"/>
              </w:rPr>
            </w:pPr>
            <w:r>
              <w:rPr>
                <w:rFonts w:hint="eastAsia" w:ascii="宋体" w:hAnsi="宋体" w:cs="宋体"/>
                <w:highlight w:val="none"/>
              </w:rPr>
              <w:t>LED 显示屏画面延迟≤500ns；LED 显示屏画面信噪比≥60dB；</w:t>
            </w:r>
          </w:p>
          <w:p>
            <w:pPr>
              <w:snapToGrid w:val="0"/>
              <w:spacing w:line="360" w:lineRule="auto"/>
              <w:ind w:firstLine="480"/>
              <w:rPr>
                <w:rFonts w:ascii="宋体" w:hAnsi="宋体" w:cs="宋体"/>
                <w:highlight w:val="none"/>
              </w:rPr>
            </w:pPr>
            <w:r>
              <w:rPr>
                <w:rFonts w:hint="eastAsia" w:ascii="宋体" w:hAnsi="宋体" w:cs="宋体"/>
                <w:highlight w:val="none"/>
              </w:rPr>
              <w:t>标准色温 6500K（1000K～20000K可调）；色温误差≤180%；</w:t>
            </w:r>
          </w:p>
          <w:p>
            <w:pPr>
              <w:snapToGrid w:val="0"/>
              <w:spacing w:line="360" w:lineRule="auto"/>
              <w:ind w:firstLine="480"/>
              <w:rPr>
                <w:rFonts w:ascii="宋体" w:hAnsi="宋体" w:cs="宋体"/>
                <w:highlight w:val="none"/>
              </w:rPr>
            </w:pPr>
            <w:r>
              <w:rPr>
                <w:rFonts w:hint="eastAsia" w:ascii="宋体" w:hAnsi="宋体" w:cs="宋体"/>
                <w:highlight w:val="none"/>
              </w:rPr>
              <w:t>最大功耗≤260W/平米，平均功耗≤90W/平米，休眠模式功耗≤12W/平米；</w:t>
            </w:r>
          </w:p>
          <w:p>
            <w:pPr>
              <w:snapToGrid w:val="0"/>
              <w:spacing w:line="360" w:lineRule="auto"/>
              <w:ind w:firstLine="480"/>
              <w:rPr>
                <w:rFonts w:ascii="宋体" w:hAnsi="宋体" w:cs="宋体"/>
                <w:highlight w:val="none"/>
              </w:rPr>
            </w:pPr>
            <w:r>
              <w:rPr>
                <w:rFonts w:hint="eastAsia" w:ascii="宋体" w:hAnsi="宋体" w:cs="宋体"/>
                <w:highlight w:val="none"/>
              </w:rPr>
              <w:t>★具有动态节能功能，带有智能节电功能、带电黑屏节电功能，开启智能节电功能比没有开启节能45%以上；</w:t>
            </w:r>
          </w:p>
          <w:p>
            <w:pPr>
              <w:snapToGrid w:val="0"/>
              <w:spacing w:line="360" w:lineRule="auto"/>
              <w:ind w:firstLine="480"/>
              <w:rPr>
                <w:rFonts w:ascii="宋体" w:hAnsi="宋体" w:cs="宋体"/>
                <w:highlight w:val="none"/>
              </w:rPr>
            </w:pPr>
            <w:r>
              <w:rPr>
                <w:rFonts w:hint="eastAsia" w:ascii="宋体" w:hAnsi="宋体" w:cs="宋体"/>
                <w:highlight w:val="none"/>
              </w:rPr>
              <w:t>在正常工作条件下，连续工作168h，不应出现电、机械或操作系统的故障；</w:t>
            </w:r>
          </w:p>
          <w:p>
            <w:pPr>
              <w:snapToGrid w:val="0"/>
              <w:spacing w:line="360" w:lineRule="auto"/>
              <w:ind w:firstLine="480"/>
              <w:rPr>
                <w:rFonts w:ascii="宋体" w:hAnsi="宋体" w:cs="宋体"/>
                <w:highlight w:val="none"/>
              </w:rPr>
            </w:pPr>
            <w:r>
              <w:rPr>
                <w:rFonts w:hint="eastAsia" w:ascii="宋体" w:hAnsi="宋体" w:cs="宋体"/>
                <w:highlight w:val="none"/>
              </w:rPr>
              <w:t>为确保良好的观看效果，符合SJ/T 11590-2016 LED显示屏质量评价优级；</w:t>
            </w:r>
          </w:p>
          <w:p>
            <w:pPr>
              <w:snapToGrid w:val="0"/>
              <w:spacing w:line="360" w:lineRule="auto"/>
              <w:ind w:firstLine="480"/>
              <w:rPr>
                <w:rFonts w:ascii="宋体" w:hAnsi="宋体" w:cs="宋体"/>
                <w:highlight w:val="none"/>
              </w:rPr>
            </w:pPr>
            <w:r>
              <w:rPr>
                <w:rFonts w:hint="eastAsia" w:ascii="宋体" w:hAnsi="宋体" w:cs="宋体"/>
                <w:highlight w:val="none"/>
              </w:rPr>
              <w:t>投标模组机械强度≥25MP；</w:t>
            </w:r>
          </w:p>
          <w:p>
            <w:pPr>
              <w:snapToGrid w:val="0"/>
              <w:spacing w:line="360" w:lineRule="auto"/>
              <w:ind w:firstLine="480"/>
              <w:rPr>
                <w:rFonts w:ascii="宋体" w:hAnsi="宋体" w:cs="宋体"/>
                <w:highlight w:val="none"/>
              </w:rPr>
            </w:pPr>
            <w:r>
              <w:rPr>
                <w:rFonts w:hint="eastAsia" w:ascii="宋体" w:hAnsi="宋体" w:cs="宋体"/>
                <w:highlight w:val="none"/>
              </w:rPr>
              <w:t>为确保显示长期稳定可靠，系统支持自动检测长时间没有使用屏体，将启动除湿模式，提升稳定性，具备相应的自动除湿功能；</w:t>
            </w:r>
          </w:p>
          <w:p>
            <w:pPr>
              <w:snapToGrid w:val="0"/>
              <w:spacing w:line="360" w:lineRule="auto"/>
              <w:ind w:firstLine="480"/>
              <w:rPr>
                <w:rFonts w:ascii="宋体" w:hAnsi="宋体" w:cs="宋体"/>
                <w:highlight w:val="none"/>
              </w:rPr>
            </w:pPr>
            <w:r>
              <w:rPr>
                <w:rFonts w:hint="eastAsia" w:ascii="宋体" w:hAnsi="宋体" w:cs="宋体"/>
                <w:highlight w:val="none"/>
              </w:rPr>
              <w:t>高低温工作储存温度：-40℃-80℃；</w:t>
            </w:r>
          </w:p>
          <w:p>
            <w:pPr>
              <w:snapToGrid w:val="0"/>
              <w:spacing w:line="360" w:lineRule="auto"/>
              <w:ind w:firstLine="480"/>
              <w:rPr>
                <w:rFonts w:ascii="宋体" w:hAnsi="宋体" w:cs="宋体"/>
                <w:highlight w:val="none"/>
              </w:rPr>
            </w:pPr>
            <w:r>
              <w:rPr>
                <w:rFonts w:hint="eastAsia" w:ascii="宋体" w:hAnsi="宋体" w:cs="宋体"/>
                <w:highlight w:val="none"/>
              </w:rPr>
              <w:t>带有图像处理功能：具体视频降噪、增强、运动补偿、色彩变换、钝化等图像处理功能；具有亮度/对比度/色度调节/视觉修正等图像调整功能；LED 显示屏图像无失真现象；</w:t>
            </w:r>
          </w:p>
          <w:p>
            <w:pPr>
              <w:snapToGrid w:val="0"/>
              <w:spacing w:line="360" w:lineRule="auto"/>
              <w:ind w:firstLine="480"/>
              <w:rPr>
                <w:rFonts w:ascii="宋体" w:hAnsi="宋体" w:cs="宋体"/>
                <w:highlight w:val="none"/>
              </w:rPr>
            </w:pPr>
            <w:r>
              <w:rPr>
                <w:rFonts w:hint="eastAsia" w:ascii="宋体" w:hAnsi="宋体" w:cs="宋体"/>
                <w:highlight w:val="none"/>
              </w:rPr>
              <w:t>具有监控自检技术，可实现LED 单点检测、通讯检测、温度检测，电源检测，温度监控等功能；</w:t>
            </w:r>
          </w:p>
          <w:p>
            <w:pPr>
              <w:snapToGrid w:val="0"/>
              <w:spacing w:line="360" w:lineRule="auto"/>
              <w:ind w:firstLine="480"/>
              <w:rPr>
                <w:rFonts w:ascii="宋体" w:hAnsi="宋体" w:cs="宋体"/>
                <w:highlight w:val="none"/>
              </w:rPr>
            </w:pPr>
            <w:r>
              <w:rPr>
                <w:rFonts w:hint="eastAsia" w:ascii="宋体" w:hAnsi="宋体" w:cs="宋体"/>
                <w:highlight w:val="none"/>
              </w:rPr>
              <w:t>★显示屏支持抑制摩尔纹功能，减轻摩尔纹视觉主观效果 80%；</w:t>
            </w:r>
          </w:p>
          <w:p>
            <w:pPr>
              <w:snapToGrid w:val="0"/>
              <w:spacing w:line="360" w:lineRule="auto"/>
              <w:ind w:firstLine="480"/>
              <w:rPr>
                <w:rFonts w:ascii="宋体" w:hAnsi="宋体" w:cs="宋体"/>
                <w:highlight w:val="none"/>
              </w:rPr>
            </w:pPr>
            <w:r>
              <w:rPr>
                <w:rFonts w:hint="eastAsia" w:ascii="宋体" w:hAnsi="宋体" w:cs="宋体"/>
                <w:highlight w:val="none"/>
              </w:rPr>
              <w:t>水平视角≥173°，垂直视角≥171°；</w:t>
            </w:r>
          </w:p>
          <w:p>
            <w:pPr>
              <w:snapToGrid w:val="0"/>
              <w:spacing w:line="360" w:lineRule="auto"/>
              <w:ind w:firstLine="480"/>
              <w:rPr>
                <w:rFonts w:ascii="宋体" w:hAnsi="宋体" w:cs="宋体"/>
                <w:highlight w:val="none"/>
              </w:rPr>
            </w:pPr>
            <w:r>
              <w:rPr>
                <w:rFonts w:hint="eastAsia" w:ascii="宋体" w:hAnsi="宋体" w:cs="宋体"/>
                <w:highlight w:val="none"/>
              </w:rPr>
              <w:t>整屏像素失控率≤1×10-6,区域像素失控率≤1×10-6；</w:t>
            </w:r>
          </w:p>
          <w:p>
            <w:pPr>
              <w:snapToGrid w:val="0"/>
              <w:spacing w:line="360" w:lineRule="auto"/>
              <w:ind w:firstLine="480"/>
              <w:rPr>
                <w:rFonts w:ascii="宋体" w:hAnsi="宋体" w:cs="宋体"/>
                <w:highlight w:val="none"/>
              </w:rPr>
            </w:pPr>
            <w:r>
              <w:rPr>
                <w:rFonts w:hint="eastAsia" w:ascii="宋体" w:hAnsi="宋体" w:cs="宋体"/>
                <w:highlight w:val="none"/>
              </w:rPr>
              <w:t>支持逐点校正功能，校正后亮度损失≤7%；</w:t>
            </w:r>
          </w:p>
          <w:p>
            <w:pPr>
              <w:snapToGrid w:val="0"/>
              <w:spacing w:line="360" w:lineRule="auto"/>
              <w:ind w:firstLine="480"/>
              <w:rPr>
                <w:rFonts w:ascii="宋体" w:hAnsi="宋体" w:cs="宋体"/>
                <w:highlight w:val="none"/>
              </w:rPr>
            </w:pPr>
            <w:r>
              <w:rPr>
                <w:rFonts w:hint="eastAsia" w:ascii="宋体" w:hAnsi="宋体" w:cs="宋体"/>
                <w:highlight w:val="none"/>
              </w:rPr>
              <w:t>具备毛毛虫现象消除功能，显示画面无单列或单行像素失控现象且系统具备掉电储存功能。支持不关电热拔抢修功能；</w:t>
            </w:r>
          </w:p>
          <w:p>
            <w:pPr>
              <w:snapToGrid w:val="0"/>
              <w:spacing w:line="360" w:lineRule="auto"/>
              <w:ind w:firstLine="480"/>
              <w:rPr>
                <w:rFonts w:ascii="宋体" w:hAnsi="宋体" w:cs="宋体"/>
                <w:highlight w:val="none"/>
              </w:rPr>
            </w:pPr>
            <w:r>
              <w:rPr>
                <w:rFonts w:hint="eastAsia" w:ascii="宋体" w:hAnsi="宋体" w:cs="宋体"/>
                <w:highlight w:val="none"/>
              </w:rPr>
              <w:t>在室温下，LED 显示屏供电电源的功率因数不小于 95%，转换效率不小于86%；</w:t>
            </w:r>
          </w:p>
          <w:p>
            <w:pPr>
              <w:snapToGrid w:val="0"/>
              <w:spacing w:line="360" w:lineRule="auto"/>
              <w:ind w:firstLine="480"/>
              <w:rPr>
                <w:rFonts w:ascii="宋体" w:hAnsi="宋体" w:cs="宋体"/>
                <w:highlight w:val="none"/>
              </w:rPr>
            </w:pPr>
            <w:r>
              <w:rPr>
                <w:rFonts w:hint="eastAsia" w:ascii="宋体" w:hAnsi="宋体" w:cs="宋体"/>
                <w:highlight w:val="none"/>
              </w:rPr>
              <w:t>LED显示屏Color Space覆盖率≥122% YIQ（NTSC），LED显示屏Color Space覆盖率≥173% YUV（PAL）；</w:t>
            </w:r>
          </w:p>
          <w:p>
            <w:pPr>
              <w:snapToGrid w:val="0"/>
              <w:spacing w:line="360" w:lineRule="auto"/>
              <w:ind w:firstLine="480"/>
              <w:rPr>
                <w:rFonts w:ascii="宋体" w:hAnsi="宋体" w:cs="宋体"/>
                <w:highlight w:val="none"/>
              </w:rPr>
            </w:pPr>
            <w:r>
              <w:rPr>
                <w:rFonts w:hint="eastAsia" w:ascii="宋体" w:hAnsi="宋体" w:cs="宋体"/>
                <w:highlight w:val="none"/>
              </w:rPr>
              <w:t>通过浪涌（冲击）抗扰度测试，抗雷击；无线电骚扰传导、无线电骚扰辐射符合ClassA；</w:t>
            </w:r>
          </w:p>
          <w:p>
            <w:pPr>
              <w:snapToGrid w:val="0"/>
              <w:spacing w:line="360" w:lineRule="auto"/>
              <w:ind w:firstLine="480"/>
              <w:rPr>
                <w:rFonts w:ascii="宋体" w:hAnsi="宋体" w:cs="宋体"/>
                <w:highlight w:val="none"/>
              </w:rPr>
            </w:pPr>
            <w:r>
              <w:rPr>
                <w:rFonts w:hint="eastAsia" w:ascii="宋体" w:hAnsi="宋体" w:cs="宋体"/>
                <w:highlight w:val="none"/>
              </w:rPr>
              <w:t>★LED 显示屏的平均失效间隔工作时间 MTBF ≥100000h ，恢复时间MTTR＜2分钟；</w:t>
            </w:r>
          </w:p>
          <w:p>
            <w:pPr>
              <w:snapToGrid w:val="0"/>
              <w:spacing w:line="360" w:lineRule="auto"/>
              <w:ind w:firstLine="480"/>
              <w:rPr>
                <w:rFonts w:ascii="宋体" w:hAnsi="宋体" w:cs="宋体"/>
                <w:highlight w:val="none"/>
              </w:rPr>
            </w:pPr>
            <w:r>
              <w:rPr>
                <w:rFonts w:hint="eastAsia" w:ascii="宋体" w:hAnsi="宋体" w:cs="宋体"/>
                <w:highlight w:val="none"/>
              </w:rPr>
              <w:t>抗震等级大于9级；</w:t>
            </w:r>
          </w:p>
          <w:p>
            <w:pPr>
              <w:snapToGrid w:val="0"/>
              <w:spacing w:line="360" w:lineRule="auto"/>
              <w:ind w:firstLine="480"/>
              <w:rPr>
                <w:rFonts w:ascii="宋体" w:hAnsi="宋体" w:cs="宋体"/>
                <w:highlight w:val="none"/>
              </w:rPr>
            </w:pPr>
            <w:r>
              <w:rPr>
                <w:rFonts w:hint="eastAsia" w:ascii="宋体" w:hAnsi="宋体" w:cs="宋体"/>
                <w:highlight w:val="none"/>
              </w:rPr>
              <w:t>具备防碰撞焊盘技术LED，支持模组级的LED灯防撞灯保护装置；</w:t>
            </w:r>
          </w:p>
          <w:p>
            <w:pPr>
              <w:snapToGrid w:val="0"/>
              <w:spacing w:line="360" w:lineRule="auto"/>
              <w:ind w:firstLine="480"/>
              <w:rPr>
                <w:rFonts w:ascii="宋体" w:hAnsi="宋体" w:cs="宋体"/>
                <w:highlight w:val="none"/>
              </w:rPr>
            </w:pPr>
            <w:r>
              <w:rPr>
                <w:rFonts w:hint="eastAsia" w:ascii="宋体" w:hAnsi="宋体" w:cs="宋体"/>
                <w:highlight w:val="none"/>
              </w:rPr>
              <w:t>具备划痕性能技术，表面硬度5H;</w:t>
            </w:r>
          </w:p>
          <w:p>
            <w:pPr>
              <w:snapToGrid w:val="0"/>
              <w:spacing w:line="360" w:lineRule="auto"/>
              <w:ind w:firstLine="480"/>
              <w:rPr>
                <w:rFonts w:ascii="宋体" w:hAnsi="宋体" w:cs="宋体"/>
                <w:highlight w:val="none"/>
              </w:rPr>
            </w:pPr>
            <w:r>
              <w:rPr>
                <w:rFonts w:hint="eastAsia" w:ascii="宋体" w:hAnsi="宋体" w:cs="宋体"/>
                <w:highlight w:val="none"/>
              </w:rPr>
              <w:t>具备SELV电路；LED显示屏能效一级；</w:t>
            </w:r>
          </w:p>
          <w:p>
            <w:pPr>
              <w:snapToGrid w:val="0"/>
              <w:spacing w:line="360" w:lineRule="auto"/>
              <w:ind w:firstLine="480"/>
              <w:rPr>
                <w:rFonts w:ascii="宋体" w:hAnsi="宋体" w:cs="宋体"/>
                <w:highlight w:val="none"/>
              </w:rPr>
            </w:pPr>
            <w:r>
              <w:rPr>
                <w:rFonts w:hint="eastAsia" w:ascii="宋体" w:hAnsi="宋体" w:cs="宋体"/>
                <w:highlight w:val="none"/>
              </w:rPr>
              <w:t>视觉舒适度（VICO 指数）范围在 0-1 级，满足CSA035.2-2017 标准；</w:t>
            </w:r>
          </w:p>
          <w:p>
            <w:pPr>
              <w:snapToGrid w:val="0"/>
              <w:spacing w:line="360" w:lineRule="auto"/>
              <w:ind w:firstLine="480"/>
              <w:rPr>
                <w:rFonts w:ascii="宋体" w:hAnsi="宋体" w:cs="宋体"/>
                <w:highlight w:val="none"/>
              </w:rPr>
            </w:pPr>
            <w:r>
              <w:rPr>
                <w:rFonts w:hint="eastAsia" w:ascii="宋体" w:hAnsi="宋体" w:cs="宋体"/>
                <w:highlight w:val="none"/>
              </w:rPr>
              <w:t>具有信号加密传输功能，支持控制器与屏体之间信号加密传输功能，  防止网络恶意入侵；</w:t>
            </w:r>
          </w:p>
          <w:p>
            <w:pPr>
              <w:snapToGrid w:val="0"/>
              <w:spacing w:line="360" w:lineRule="auto"/>
              <w:ind w:firstLine="480"/>
              <w:rPr>
                <w:rFonts w:ascii="宋体" w:hAnsi="宋体" w:cs="宋体"/>
                <w:highlight w:val="none"/>
              </w:rPr>
            </w:pPr>
            <w:r>
              <w:rPr>
                <w:rFonts w:hint="eastAsia" w:ascii="宋体" w:hAnsi="宋体" w:cs="宋体"/>
                <w:highlight w:val="none"/>
              </w:rPr>
              <w:t>寿命典型值120000h。。</w:t>
            </w:r>
          </w:p>
          <w:p>
            <w:pPr>
              <w:snapToGrid w:val="0"/>
              <w:spacing w:line="360" w:lineRule="auto"/>
              <w:ind w:firstLine="480"/>
              <w:rPr>
                <w:rFonts w:ascii="宋体" w:hAnsi="宋体" w:cs="宋体"/>
                <w:highlight w:val="none"/>
              </w:rPr>
            </w:pPr>
            <w:r>
              <w:rPr>
                <w:rFonts w:hint="eastAsia" w:ascii="宋体" w:hAnsi="宋体" w:cs="宋体"/>
                <w:highlight w:val="none"/>
              </w:rPr>
              <w:t>2、音视频融合系统接入服务配套</w:t>
            </w:r>
          </w:p>
          <w:p>
            <w:pPr>
              <w:snapToGrid w:val="0"/>
              <w:spacing w:line="360" w:lineRule="auto"/>
              <w:ind w:firstLine="480"/>
              <w:rPr>
                <w:rFonts w:ascii="宋体" w:hAnsi="宋体" w:cs="宋体"/>
                <w:highlight w:val="none"/>
              </w:rPr>
            </w:pPr>
            <w:r>
              <w:rPr>
                <w:rFonts w:hint="eastAsia" w:ascii="宋体" w:hAnsi="宋体" w:cs="宋体"/>
                <w:highlight w:val="none"/>
              </w:rPr>
              <w:t>①高性能网络化可编程控制主机服务配套1套</w:t>
            </w:r>
          </w:p>
          <w:p>
            <w:pPr>
              <w:snapToGrid w:val="0"/>
              <w:spacing w:line="360" w:lineRule="auto"/>
              <w:ind w:firstLine="480"/>
              <w:rPr>
                <w:rFonts w:ascii="宋体" w:hAnsi="宋体" w:cs="宋体"/>
                <w:highlight w:val="none"/>
              </w:rPr>
            </w:pPr>
            <w:r>
              <w:rPr>
                <w:rFonts w:hint="eastAsia" w:ascii="宋体" w:hAnsi="宋体" w:cs="宋体"/>
                <w:highlight w:val="none"/>
              </w:rPr>
              <w:t>★主频≥2.0 GHz的64位内嵌式处理器，ARM Cortex-A55四核CPU，内存≥2GB，Flash闪存≥16G，可扩展存储≥32GB。</w:t>
            </w:r>
          </w:p>
          <w:p>
            <w:pPr>
              <w:snapToGrid w:val="0"/>
              <w:spacing w:line="360" w:lineRule="auto"/>
              <w:ind w:firstLine="480"/>
              <w:rPr>
                <w:rFonts w:ascii="宋体" w:hAnsi="宋体" w:cs="宋体"/>
                <w:highlight w:val="none"/>
              </w:rPr>
            </w:pPr>
            <w:r>
              <w:rPr>
                <w:rFonts w:hint="eastAsia" w:ascii="宋体" w:hAnsi="宋体" w:cs="宋体"/>
                <w:highlight w:val="none"/>
              </w:rPr>
              <w:t>独立可编程RS-232≥8路，弱电继电器接口≥8路，数字输入/输出IO 接口≥8路，红外可编程控制接口≥8路，千兆网络接口≥7路，RS-422≥1路和RS-485≥2路。</w:t>
            </w:r>
          </w:p>
          <w:p>
            <w:pPr>
              <w:snapToGrid w:val="0"/>
              <w:spacing w:line="360" w:lineRule="auto"/>
              <w:ind w:firstLine="480"/>
              <w:rPr>
                <w:rFonts w:ascii="宋体" w:hAnsi="宋体" w:cs="宋体"/>
                <w:highlight w:val="none"/>
              </w:rPr>
            </w:pPr>
            <w:r>
              <w:rPr>
                <w:rFonts w:hint="eastAsia" w:ascii="宋体" w:hAnsi="宋体" w:cs="宋体"/>
                <w:highlight w:val="none"/>
              </w:rPr>
              <w:t>★支持≥7路千兆网络接口（其中6路支持POE供电），支持TCP，UDP协议控制网络设备，支持HTTPS，HTTP，MQTT，SNMP等通信协议对接，支持TLS/SSL加密通信对接。</w:t>
            </w:r>
          </w:p>
          <w:p>
            <w:pPr>
              <w:snapToGrid w:val="0"/>
              <w:spacing w:line="360" w:lineRule="auto"/>
              <w:ind w:firstLine="480"/>
              <w:rPr>
                <w:rFonts w:ascii="宋体" w:hAnsi="宋体" w:cs="宋体"/>
                <w:highlight w:val="none"/>
              </w:rPr>
            </w:pPr>
            <w:r>
              <w:rPr>
                <w:rFonts w:hint="eastAsia" w:ascii="宋体" w:hAnsi="宋体" w:cs="宋体"/>
                <w:highlight w:val="none"/>
              </w:rPr>
              <w:t>具有3个扩展插槽，支持扩展COM串口，IR红外接口，RELAY弱继电器，I/O控制接口等扩展卡。</w:t>
            </w:r>
          </w:p>
          <w:p>
            <w:pPr>
              <w:snapToGrid w:val="0"/>
              <w:spacing w:line="360" w:lineRule="auto"/>
              <w:ind w:firstLine="480"/>
              <w:rPr>
                <w:rFonts w:ascii="宋体" w:hAnsi="宋体" w:cs="宋体"/>
                <w:highlight w:val="none"/>
              </w:rPr>
            </w:pPr>
            <w:r>
              <w:rPr>
                <w:rFonts w:hint="eastAsia" w:ascii="宋体" w:hAnsi="宋体" w:cs="宋体"/>
                <w:highlight w:val="none"/>
              </w:rPr>
              <w:t>中控主机支持对外输出DC24V、DC12V、DC5V电源独立接口；支持给扩展设备触摸屏、继电器和调光器、墙上面板进行供电，具有电流过载保护功能。</w:t>
            </w:r>
          </w:p>
          <w:p>
            <w:pPr>
              <w:snapToGrid w:val="0"/>
              <w:spacing w:line="360" w:lineRule="auto"/>
              <w:ind w:firstLine="480"/>
              <w:rPr>
                <w:rFonts w:ascii="宋体" w:hAnsi="宋体" w:cs="宋体"/>
                <w:highlight w:val="none"/>
              </w:rPr>
            </w:pPr>
            <w:r>
              <w:rPr>
                <w:rFonts w:hint="eastAsia" w:ascii="宋体" w:hAnsi="宋体" w:cs="宋体"/>
                <w:highlight w:val="none"/>
              </w:rPr>
              <w:t>支持CR-NET-GX、TCP/IP、Zigbee等多种网络通讯方式；支持通过无线射频RF，WIFI，Enternet，CR-NET-GX四种方式与触屏或按键面板通信。</w:t>
            </w:r>
          </w:p>
          <w:p>
            <w:pPr>
              <w:snapToGrid w:val="0"/>
              <w:spacing w:line="360" w:lineRule="auto"/>
              <w:ind w:firstLine="480"/>
              <w:rPr>
                <w:rFonts w:ascii="宋体" w:hAnsi="宋体" w:cs="宋体"/>
                <w:highlight w:val="none"/>
              </w:rPr>
            </w:pPr>
            <w:r>
              <w:rPr>
                <w:rFonts w:hint="eastAsia" w:ascii="宋体" w:hAnsi="宋体" w:cs="宋体"/>
                <w:highlight w:val="none"/>
              </w:rPr>
              <w:t>支持主机RS232控制接口、RS422控制接口、RS485控制接口、红外控制接口、I/O输入输出接口开机自检功能，发现异常自动报警提示。</w:t>
            </w:r>
          </w:p>
          <w:p>
            <w:pPr>
              <w:snapToGrid w:val="0"/>
              <w:spacing w:line="360" w:lineRule="auto"/>
              <w:ind w:firstLine="480"/>
              <w:rPr>
                <w:rFonts w:ascii="宋体" w:hAnsi="宋体" w:cs="宋体"/>
                <w:highlight w:val="none"/>
              </w:rPr>
            </w:pPr>
            <w:r>
              <w:rPr>
                <w:rFonts w:hint="eastAsia" w:ascii="宋体" w:hAnsi="宋体" w:cs="宋体"/>
                <w:highlight w:val="none"/>
              </w:rPr>
              <w:t>支持电源冗余备份，支持中控双机热备份功能，一台中控主机发生故障系统自动切换至备份中控主机接替工作。</w:t>
            </w:r>
          </w:p>
          <w:p>
            <w:pPr>
              <w:snapToGrid w:val="0"/>
              <w:spacing w:line="360" w:lineRule="auto"/>
              <w:ind w:firstLine="480"/>
              <w:rPr>
                <w:rFonts w:ascii="宋体" w:hAnsi="宋体" w:cs="宋体"/>
                <w:highlight w:val="none"/>
              </w:rPr>
            </w:pPr>
            <w:r>
              <w:rPr>
                <w:rFonts w:hint="eastAsia" w:ascii="宋体" w:hAnsi="宋体" w:cs="宋体"/>
                <w:highlight w:val="none"/>
              </w:rPr>
              <w:t>设备核心主处理芯片采用国产芯片，整机产品为100%全国产可控。</w:t>
            </w:r>
          </w:p>
          <w:p>
            <w:pPr>
              <w:snapToGrid w:val="0"/>
              <w:spacing w:line="360" w:lineRule="auto"/>
              <w:ind w:firstLine="480"/>
              <w:rPr>
                <w:rFonts w:ascii="宋体" w:hAnsi="宋体" w:cs="宋体"/>
                <w:highlight w:val="none"/>
              </w:rPr>
            </w:pPr>
            <w:r>
              <w:rPr>
                <w:rFonts w:hint="eastAsia" w:ascii="宋体" w:hAnsi="宋体" w:cs="宋体"/>
                <w:highlight w:val="none"/>
              </w:rPr>
              <w:t>支持多种移动触控端设备与中控主机连接，兼容iPad/iPhone/Android平板/Surface平板控制，兼容国产自主可控鸿蒙HarmonyOS系统平板触控终端进行控制。</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★支持前面板含5.5寸LCD液晶屏，显示主机主机IP地址、端口、自检状态、电源、中控控制等信息，可以查看自检结果，主机支持手动自检或上电自检。                              </w:t>
            </w:r>
          </w:p>
          <w:p>
            <w:pPr>
              <w:snapToGrid w:val="0"/>
              <w:spacing w:line="360" w:lineRule="auto"/>
              <w:ind w:firstLine="480"/>
              <w:rPr>
                <w:rFonts w:ascii="宋体" w:hAnsi="宋体" w:cs="宋体"/>
                <w:highlight w:val="none"/>
              </w:rPr>
            </w:pPr>
            <w:r>
              <w:rPr>
                <w:rFonts w:hint="eastAsia" w:ascii="宋体" w:hAnsi="宋体" w:cs="宋体"/>
                <w:highlight w:val="none"/>
              </w:rPr>
              <w:t>②电源控制服务配套1套</w:t>
            </w:r>
          </w:p>
          <w:p>
            <w:pPr>
              <w:snapToGrid w:val="0"/>
              <w:spacing w:line="360" w:lineRule="auto"/>
              <w:ind w:firstLine="480"/>
              <w:rPr>
                <w:rFonts w:ascii="宋体" w:hAnsi="宋体" w:cs="宋体"/>
                <w:highlight w:val="none"/>
              </w:rPr>
            </w:pPr>
            <w:r>
              <w:rPr>
                <w:rFonts w:hint="eastAsia" w:ascii="宋体" w:hAnsi="宋体" w:cs="宋体"/>
                <w:highlight w:val="none"/>
              </w:rPr>
              <w:t>支持至少3种不同的控制协议：CR-NET-GXCEC1，RS-232，TCP/IP；至少支持8路独立控制接口，每路负载不低于AC220V/20A、DC30V/20A。</w:t>
            </w:r>
          </w:p>
          <w:p>
            <w:pPr>
              <w:snapToGrid w:val="0"/>
              <w:spacing w:line="360" w:lineRule="auto"/>
              <w:ind w:firstLine="480"/>
              <w:rPr>
                <w:rFonts w:ascii="宋体" w:hAnsi="宋体" w:cs="宋体"/>
                <w:highlight w:val="none"/>
              </w:rPr>
            </w:pPr>
            <w:r>
              <w:rPr>
                <w:rFonts w:hint="eastAsia" w:ascii="宋体" w:hAnsi="宋体" w:cs="宋体"/>
                <w:highlight w:val="none"/>
              </w:rPr>
              <w:t>③混合拼接矩阵服务配套1套</w:t>
            </w:r>
          </w:p>
          <w:p>
            <w:pPr>
              <w:snapToGrid w:val="0"/>
              <w:spacing w:line="360" w:lineRule="auto"/>
              <w:ind w:firstLine="480"/>
              <w:rPr>
                <w:rFonts w:ascii="宋体" w:hAnsi="宋体" w:cs="宋体"/>
                <w:highlight w:val="none"/>
              </w:rPr>
            </w:pPr>
            <w:r>
              <w:rPr>
                <w:rFonts w:hint="eastAsia" w:ascii="宋体" w:hAnsi="宋体" w:cs="宋体"/>
                <w:highlight w:val="none"/>
              </w:rPr>
              <w:t>系统采用纯硬件 FPGA 处理架构，插卡式模块化设计，交换容量最大支持 16路输入,16路输出；</w:t>
            </w:r>
          </w:p>
          <w:p>
            <w:pPr>
              <w:snapToGrid w:val="0"/>
              <w:spacing w:line="360" w:lineRule="auto"/>
              <w:ind w:firstLine="480"/>
              <w:rPr>
                <w:rFonts w:ascii="宋体" w:hAnsi="宋体" w:cs="宋体"/>
                <w:highlight w:val="none"/>
              </w:rPr>
            </w:pPr>
            <w:r>
              <w:rPr>
                <w:rFonts w:hint="eastAsia" w:ascii="宋体" w:hAnsi="宋体" w:cs="宋体"/>
                <w:highlight w:val="none"/>
              </w:rPr>
              <w:t>支持DVI1.0 协议，符合HDCP1.3 标准，支持HDMI1.4a、HDMI2.0、DisplayPort1.2；支持H.264\H .265 协议；</w:t>
            </w:r>
          </w:p>
          <w:p>
            <w:pPr>
              <w:snapToGrid w:val="0"/>
              <w:spacing w:line="360" w:lineRule="auto"/>
              <w:ind w:firstLine="480"/>
              <w:rPr>
                <w:rFonts w:ascii="宋体" w:hAnsi="宋体" w:cs="宋体"/>
                <w:highlight w:val="none"/>
              </w:rPr>
            </w:pPr>
            <w:r>
              <w:rPr>
                <w:rFonts w:hint="eastAsia" w:ascii="宋体" w:hAnsi="宋体" w:cs="宋体"/>
                <w:highlight w:val="none"/>
              </w:rPr>
              <w:t>★支持切换板冗余，支持拓展不低于3个核心切换板，保证至少2块板卡系统正常运行。底板：底板无芯片、无电容电阻；</w:t>
            </w:r>
          </w:p>
          <w:p>
            <w:pPr>
              <w:snapToGrid w:val="0"/>
              <w:spacing w:line="360" w:lineRule="auto"/>
              <w:ind w:firstLine="480"/>
              <w:rPr>
                <w:rFonts w:ascii="宋体" w:hAnsi="宋体" w:cs="宋体"/>
                <w:highlight w:val="none"/>
              </w:rPr>
            </w:pPr>
            <w:r>
              <w:rPr>
                <w:rFonts w:hint="eastAsia" w:ascii="宋体" w:hAnsi="宋体" w:cs="宋体"/>
                <w:highlight w:val="none"/>
              </w:rPr>
              <w:t>多种类输入/输出接口：输入接口支持VGA、DVI、HDMI1.3、SDI、CVBS、YPbPr、Dual-D、HDMI1.4、DP、IPV、HDBaseT、Fiber；输出接口支持VGA、DVI、HDMI1.3、SDI、CVBS、HDMI1.4、HDBaseT、Fiber及MirView本地回显。</w:t>
            </w:r>
          </w:p>
          <w:p>
            <w:pPr>
              <w:snapToGrid w:val="0"/>
              <w:spacing w:line="360" w:lineRule="auto"/>
              <w:ind w:firstLine="480"/>
              <w:rPr>
                <w:rFonts w:ascii="宋体" w:hAnsi="宋体" w:cs="宋体"/>
                <w:highlight w:val="none"/>
              </w:rPr>
            </w:pPr>
            <w:r>
              <w:rPr>
                <w:rFonts w:hint="eastAsia" w:ascii="宋体" w:hAnsi="宋体" w:cs="宋体"/>
                <w:highlight w:val="none"/>
              </w:rPr>
              <w:t>支持输入输出板卡热插拔，输入板卡热插拔恢复时间&lt;3s，输出板卡热插拔恢复时间&lt;3s； </w:t>
            </w:r>
          </w:p>
          <w:p>
            <w:pPr>
              <w:snapToGrid w:val="0"/>
              <w:spacing w:line="360" w:lineRule="auto"/>
              <w:ind w:firstLine="480"/>
              <w:rPr>
                <w:rFonts w:ascii="宋体" w:hAnsi="宋体" w:cs="宋体"/>
                <w:highlight w:val="none"/>
              </w:rPr>
            </w:pPr>
            <w:r>
              <w:rPr>
                <w:rFonts w:hint="eastAsia" w:ascii="宋体" w:hAnsi="宋体" w:cs="宋体"/>
                <w:highlight w:val="none"/>
              </w:rPr>
              <w:t>支持≥4种不同的控制方式：具有RS-485，红外遥控， RS-232协议和TCP/IP网络协议，为第三方管理平台提供完整控制协议，同时支持HDBaseT 的串口控制矩阵切换；</w:t>
            </w:r>
          </w:p>
          <w:p>
            <w:pPr>
              <w:snapToGrid w:val="0"/>
              <w:spacing w:line="360" w:lineRule="auto"/>
              <w:ind w:firstLine="480"/>
              <w:rPr>
                <w:rFonts w:ascii="宋体" w:hAnsi="宋体" w:cs="宋体"/>
                <w:highlight w:val="none"/>
              </w:rPr>
            </w:pPr>
            <w:r>
              <w:rPr>
                <w:rFonts w:hint="eastAsia" w:ascii="宋体" w:hAnsi="宋体" w:cs="宋体"/>
                <w:highlight w:val="none"/>
              </w:rPr>
              <w:t>支持去黑边及画面裁切、窗口复制处理，支持字幕的颜色、字体大小、位置、是否透明、滚动速度的设置；</w:t>
            </w:r>
          </w:p>
          <w:p>
            <w:pPr>
              <w:snapToGrid w:val="0"/>
              <w:spacing w:line="360" w:lineRule="auto"/>
              <w:ind w:firstLine="480"/>
              <w:rPr>
                <w:rFonts w:ascii="宋体" w:hAnsi="宋体" w:cs="宋体"/>
                <w:highlight w:val="none"/>
              </w:rPr>
            </w:pPr>
            <w:r>
              <w:rPr>
                <w:rFonts w:hint="eastAsia" w:ascii="宋体" w:hAnsi="宋体" w:cs="宋体"/>
                <w:highlight w:val="none"/>
              </w:rPr>
              <w:t>支持 KVM 坐席管理功能， 实时对鼠标键盘和视频显示信号的切换和调配管理；KVM 具有OSD菜单，支持一人多机、一人多屏、鼠标滑屏、一键推屏、坐席推送、屏幕分享、坐席分组等坐席协作管理功能；</w:t>
            </w:r>
          </w:p>
          <w:p>
            <w:pPr>
              <w:snapToGrid w:val="0"/>
              <w:spacing w:line="360" w:lineRule="auto"/>
              <w:ind w:firstLine="480"/>
              <w:rPr>
                <w:rFonts w:ascii="宋体" w:hAnsi="宋体" w:cs="宋体"/>
                <w:highlight w:val="none"/>
              </w:rPr>
            </w:pPr>
            <w:r>
              <w:rPr>
                <w:rFonts w:hint="eastAsia" w:ascii="宋体" w:hAnsi="宋体" w:cs="宋体"/>
                <w:highlight w:val="none"/>
              </w:rPr>
              <w:t>支持常用场景的画面拼接方案保存为预案，支持快速调用，支持预案数量不少于10400，支持场景预案调用和自动轮巡；</w:t>
            </w:r>
          </w:p>
          <w:p>
            <w:pPr>
              <w:snapToGrid w:val="0"/>
              <w:spacing w:line="360" w:lineRule="auto"/>
              <w:ind w:firstLine="480"/>
              <w:rPr>
                <w:rFonts w:ascii="宋体" w:hAnsi="宋体" w:cs="宋体"/>
                <w:highlight w:val="none"/>
              </w:rPr>
            </w:pPr>
            <w:r>
              <w:rPr>
                <w:rFonts w:hint="eastAsia" w:ascii="宋体" w:hAnsi="宋体" w:cs="宋体"/>
                <w:highlight w:val="none"/>
              </w:rPr>
              <w:t>支持LED大屏同步处理技术，支持不少于5组拼接屏输出显示，实现各种大屏拼接的点对点显示；</w:t>
            </w:r>
          </w:p>
          <w:p>
            <w:pPr>
              <w:snapToGrid w:val="0"/>
              <w:spacing w:line="360" w:lineRule="auto"/>
              <w:ind w:firstLine="480"/>
              <w:rPr>
                <w:rFonts w:ascii="宋体" w:hAnsi="宋体" w:cs="宋体"/>
                <w:highlight w:val="none"/>
              </w:rPr>
            </w:pPr>
            <w:r>
              <w:rPr>
                <w:rFonts w:hint="eastAsia" w:ascii="宋体" w:hAnsi="宋体" w:cs="宋体"/>
                <w:highlight w:val="none"/>
              </w:rPr>
              <w:t>采用国产芯片、国产操作系统、国产零部件进行生产，支持中标麒麟/银河麒麟/Linux国产客户端登录操作； </w:t>
            </w:r>
          </w:p>
          <w:p>
            <w:pPr>
              <w:snapToGrid w:val="0"/>
              <w:spacing w:line="360" w:lineRule="auto"/>
              <w:ind w:firstLine="480"/>
              <w:rPr>
                <w:rFonts w:ascii="宋体" w:hAnsi="宋体" w:cs="宋体"/>
                <w:highlight w:val="none"/>
              </w:rPr>
            </w:pPr>
            <w:r>
              <w:rPr>
                <w:rFonts w:hint="eastAsia" w:ascii="宋体" w:hAnsi="宋体" w:cs="宋体"/>
                <w:highlight w:val="none"/>
              </w:rPr>
              <w:t>支持矩阵板卡，风扇热插拔，支持双电源冗余备份，电源无间断资源切换，启动矩阵恢复时间≤10s。</w:t>
            </w:r>
          </w:p>
          <w:p>
            <w:pPr>
              <w:snapToGrid w:val="0"/>
              <w:spacing w:line="360" w:lineRule="auto"/>
              <w:ind w:firstLine="480"/>
              <w:rPr>
                <w:rFonts w:ascii="宋体" w:hAnsi="宋体" w:cs="宋体"/>
                <w:highlight w:val="none"/>
              </w:rPr>
            </w:pPr>
            <w:r>
              <w:rPr>
                <w:rFonts w:hint="eastAsia" w:ascii="宋体" w:hAnsi="宋体" w:cs="宋体"/>
                <w:highlight w:val="none"/>
              </w:rPr>
              <w:t>支持智能语音控制系统SIP会话控制功能；</w:t>
            </w:r>
          </w:p>
          <w:p>
            <w:pPr>
              <w:snapToGrid w:val="0"/>
              <w:spacing w:line="360" w:lineRule="auto"/>
              <w:ind w:firstLine="480"/>
              <w:rPr>
                <w:rFonts w:ascii="宋体" w:hAnsi="宋体" w:cs="宋体"/>
                <w:highlight w:val="none"/>
              </w:rPr>
            </w:pPr>
            <w:r>
              <w:rPr>
                <w:rFonts w:hint="eastAsia" w:ascii="宋体" w:hAnsi="宋体" w:cs="宋体"/>
                <w:highlight w:val="none"/>
              </w:rPr>
              <w:t>信号切换延迟时间≤5ms，切换过程无黑场，无裂缝，无蓝屏，无抖动，无闪烁现象；</w:t>
            </w:r>
          </w:p>
          <w:p>
            <w:pPr>
              <w:snapToGrid w:val="0"/>
              <w:spacing w:line="360" w:lineRule="auto"/>
              <w:ind w:firstLine="480"/>
              <w:rPr>
                <w:rFonts w:ascii="宋体" w:hAnsi="宋体" w:cs="宋体"/>
                <w:highlight w:val="none"/>
              </w:rPr>
            </w:pPr>
            <w:r>
              <w:rPr>
                <w:rFonts w:hint="eastAsia" w:ascii="宋体" w:hAnsi="宋体" w:cs="宋体"/>
                <w:highlight w:val="none"/>
              </w:rPr>
              <w:t>配合双光备份模块或者光网备份模块，可支持系统线路和主设备的备份；</w:t>
            </w:r>
          </w:p>
          <w:p>
            <w:pPr>
              <w:snapToGrid w:val="0"/>
              <w:spacing w:line="360" w:lineRule="auto"/>
              <w:ind w:firstLine="480"/>
              <w:rPr>
                <w:rFonts w:ascii="宋体" w:hAnsi="宋体" w:cs="宋体"/>
                <w:highlight w:val="none"/>
              </w:rPr>
            </w:pPr>
            <w:r>
              <w:rPr>
                <w:rFonts w:hint="eastAsia" w:ascii="宋体" w:hAnsi="宋体" w:cs="宋体"/>
                <w:highlight w:val="none"/>
              </w:rPr>
              <w:t>MTBF≥138000小时。</w:t>
            </w:r>
          </w:p>
          <w:p>
            <w:pPr>
              <w:snapToGrid w:val="0"/>
              <w:spacing w:line="360" w:lineRule="auto"/>
              <w:ind w:firstLine="480"/>
              <w:rPr>
                <w:rFonts w:ascii="宋体" w:hAnsi="宋体" w:cs="宋体"/>
                <w:highlight w:val="none"/>
              </w:rPr>
            </w:pPr>
            <w:r>
              <w:rPr>
                <w:rFonts w:hint="eastAsia" w:ascii="宋体" w:hAnsi="宋体" w:cs="宋体"/>
                <w:highlight w:val="none"/>
              </w:rPr>
              <w:t>④无线触摸服务配套1套。</w:t>
            </w:r>
          </w:p>
          <w:p>
            <w:pPr>
              <w:snapToGrid w:val="0"/>
              <w:spacing w:line="360" w:lineRule="auto"/>
              <w:ind w:firstLine="480"/>
              <w:rPr>
                <w:rFonts w:ascii="宋体" w:hAnsi="宋体" w:cs="宋体"/>
                <w:highlight w:val="none"/>
              </w:rPr>
            </w:pPr>
            <w:r>
              <w:rPr>
                <w:rFonts w:hint="eastAsia" w:ascii="宋体" w:hAnsi="宋体" w:cs="宋体"/>
                <w:highlight w:val="none"/>
              </w:rPr>
              <w:t>⑤音视频融合接入系统HDMI服务配套</w:t>
            </w:r>
          </w:p>
          <w:p>
            <w:pPr>
              <w:snapToGrid w:val="0"/>
              <w:spacing w:line="360" w:lineRule="auto"/>
              <w:ind w:firstLine="480"/>
              <w:rPr>
                <w:rFonts w:ascii="宋体" w:hAnsi="宋体" w:cs="宋体"/>
                <w:highlight w:val="none"/>
              </w:rPr>
            </w:pPr>
            <w:r>
              <w:rPr>
                <w:rFonts w:hint="eastAsia" w:ascii="宋体" w:hAnsi="宋体" w:cs="宋体"/>
                <w:highlight w:val="none"/>
              </w:rPr>
              <w:t>HDMI输入卡3张；HDMI输出卡2张；HDMI网传6对；HDMI高清线1批。</w:t>
            </w:r>
          </w:p>
          <w:p>
            <w:pPr>
              <w:snapToGrid w:val="0"/>
              <w:spacing w:line="360" w:lineRule="auto"/>
              <w:ind w:firstLine="480"/>
              <w:rPr>
                <w:rFonts w:ascii="宋体" w:hAnsi="宋体" w:cs="宋体"/>
                <w:kern w:val="0"/>
                <w:highlight w:val="none"/>
                <w:lang w:bidi="ar"/>
              </w:rPr>
            </w:pPr>
            <w:r>
              <w:rPr>
                <w:rFonts w:hint="eastAsia" w:ascii="宋体" w:hAnsi="宋体" w:cs="宋体"/>
                <w:highlight w:val="none"/>
              </w:rPr>
              <w:t>3、</w:t>
            </w:r>
            <w:r>
              <w:rPr>
                <w:rFonts w:hint="eastAsia" w:ascii="宋体" w:hAnsi="宋体" w:cs="宋体"/>
                <w:kern w:val="0"/>
                <w:highlight w:val="none"/>
                <w:lang w:bidi="ar"/>
              </w:rPr>
              <w:t>音频扩声系统升级服务配套</w:t>
            </w:r>
          </w:p>
          <w:p>
            <w:pPr>
              <w:snapToGrid w:val="0"/>
              <w:spacing w:line="360" w:lineRule="auto"/>
              <w:ind w:firstLine="480"/>
              <w:rPr>
                <w:rFonts w:ascii="宋体" w:hAnsi="宋体" w:cs="宋体"/>
                <w:highlight w:val="none"/>
              </w:rPr>
            </w:pPr>
            <w:r>
              <w:rPr>
                <w:rFonts w:hint="eastAsia" w:ascii="宋体" w:hAnsi="宋体" w:cs="宋体"/>
                <w:highlight w:val="none"/>
              </w:rPr>
              <w:t>①调音服务配套1套。</w:t>
            </w:r>
          </w:p>
          <w:p>
            <w:pPr>
              <w:snapToGrid w:val="0"/>
              <w:spacing w:line="360" w:lineRule="auto"/>
              <w:ind w:firstLine="480"/>
              <w:rPr>
                <w:rFonts w:ascii="宋体" w:hAnsi="宋体" w:cs="宋体"/>
                <w:kern w:val="0"/>
                <w:highlight w:val="none"/>
                <w:lang w:bidi="ar"/>
              </w:rPr>
            </w:pPr>
            <w:r>
              <w:rPr>
                <w:rFonts w:hint="eastAsia" w:ascii="宋体" w:hAnsi="宋体" w:cs="宋体"/>
                <w:kern w:val="0"/>
                <w:highlight w:val="none"/>
                <w:lang w:bidi="ar"/>
              </w:rPr>
              <w:t>16通道调音台：10个话筒 / 16 个线路输入 (8 个单声道 + 4 个立体声) / 4 编组母线 + 1 立体声母线 / 4 AUX (包括 FX)；10个话筒 / 16个线路输入 (8个单声道 + 4个立体声)；4编组母线 + 1立体声母线；4 AUX (包括FX)；“D-PRE”话放，带有倒向晶体管电路；单旋钮压缩器；效果器：SPX，含24组预置效果器；24-bit/192kHz 2进/2出 USB音频功能。</w:t>
            </w:r>
          </w:p>
          <w:p>
            <w:pPr>
              <w:snapToGrid w:val="0"/>
              <w:spacing w:line="400" w:lineRule="exact"/>
              <w:ind w:firstLine="480"/>
              <w:rPr>
                <w:rFonts w:ascii="宋体" w:hAnsi="宋体" w:cs="宋体"/>
                <w:highlight w:val="none"/>
              </w:rPr>
            </w:pPr>
            <w:r>
              <w:rPr>
                <w:rFonts w:hint="eastAsia" w:ascii="宋体" w:hAnsi="宋体" w:cs="宋体"/>
                <w:highlight w:val="none"/>
              </w:rPr>
              <w:t>②智能型会议系统服务配套1套</w:t>
            </w:r>
          </w:p>
          <w:p>
            <w:pPr>
              <w:snapToGrid w:val="0"/>
              <w:spacing w:line="400" w:lineRule="exact"/>
              <w:ind w:firstLine="480"/>
              <w:rPr>
                <w:rFonts w:ascii="宋体" w:hAnsi="宋体" w:cs="宋体"/>
                <w:highlight w:val="none"/>
              </w:rPr>
            </w:pPr>
            <w:r>
              <w:rPr>
                <w:rFonts w:hint="eastAsia" w:ascii="宋体" w:hAnsi="宋体" w:cs="宋体"/>
                <w:highlight w:val="none"/>
              </w:rPr>
              <w:t>前面板具有设备状态指示灯和电源指示灯，具备至少3路会议连接状态指示灯，4路模式选择指示灯,4路发言人数选择指示灯,3路音频处理啸叫抑制指示灯,5个音量大小设置指示灯，1个POWER指示灯，实时显示工作状态；</w:t>
            </w:r>
          </w:p>
          <w:p>
            <w:pPr>
              <w:snapToGrid w:val="0"/>
              <w:spacing w:line="400" w:lineRule="exact"/>
              <w:ind w:firstLine="480"/>
              <w:rPr>
                <w:rFonts w:ascii="宋体" w:hAnsi="宋体" w:cs="宋体"/>
                <w:highlight w:val="none"/>
              </w:rPr>
            </w:pPr>
            <w:r>
              <w:rPr>
                <w:rFonts w:hint="eastAsia" w:ascii="宋体" w:hAnsi="宋体" w:cs="宋体"/>
                <w:highlight w:val="none"/>
              </w:rPr>
              <w:t>内置高性能CPU，集翻译、讨论、签到、表决、电子铭牌为一体，提供高速投票、表决、信息传输，提供茶水、内部通话、短消息、电子铭牌等多种服务；</w:t>
            </w:r>
          </w:p>
          <w:p>
            <w:pPr>
              <w:snapToGrid w:val="0"/>
              <w:spacing w:line="400" w:lineRule="exact"/>
              <w:ind w:firstLine="480"/>
              <w:rPr>
                <w:rFonts w:ascii="宋体" w:hAnsi="宋体" w:cs="宋体"/>
                <w:highlight w:val="none"/>
              </w:rPr>
            </w:pPr>
            <w:r>
              <w:rPr>
                <w:rFonts w:hint="eastAsia" w:ascii="宋体" w:hAnsi="宋体" w:cs="宋体"/>
                <w:highlight w:val="none"/>
              </w:rPr>
              <w:t>系统至少支持4000台会议单元；同时开8个话筒；</w:t>
            </w:r>
          </w:p>
          <w:p>
            <w:pPr>
              <w:snapToGrid w:val="0"/>
              <w:spacing w:line="400" w:lineRule="exact"/>
              <w:ind w:firstLine="480"/>
              <w:rPr>
                <w:rFonts w:ascii="宋体" w:hAnsi="宋体" w:cs="宋体"/>
                <w:highlight w:val="none"/>
              </w:rPr>
            </w:pPr>
            <w:r>
              <w:rPr>
                <w:rFonts w:hint="eastAsia" w:ascii="宋体" w:hAnsi="宋体" w:cs="宋体"/>
                <w:highlight w:val="none"/>
              </w:rPr>
              <w:t>非压缩音频传输，48K采样率，带宽20Hz~20KHz完美音质；</w:t>
            </w:r>
          </w:p>
          <w:p>
            <w:pPr>
              <w:snapToGrid w:val="0"/>
              <w:spacing w:line="400" w:lineRule="exact"/>
              <w:ind w:firstLine="480"/>
              <w:rPr>
                <w:rFonts w:ascii="宋体" w:hAnsi="宋体" w:cs="宋体"/>
                <w:highlight w:val="none"/>
              </w:rPr>
            </w:pPr>
            <w:r>
              <w:rPr>
                <w:rFonts w:hint="eastAsia" w:ascii="宋体" w:hAnsi="宋体" w:cs="宋体"/>
                <w:highlight w:val="none"/>
              </w:rPr>
              <w:t>32 bit高速DSP浮点处理，同时支持4路音频输入4路音频输出，声学反馈抑制，回声消除，噪声消除，数字均衡，提供清晰高灵敏度完美音质；</w:t>
            </w:r>
          </w:p>
          <w:p>
            <w:pPr>
              <w:snapToGrid w:val="0"/>
              <w:spacing w:line="400" w:lineRule="exact"/>
              <w:ind w:firstLine="480"/>
              <w:rPr>
                <w:rFonts w:ascii="宋体" w:hAnsi="宋体" w:cs="宋体"/>
                <w:highlight w:val="none"/>
              </w:rPr>
            </w:pPr>
            <w:r>
              <w:rPr>
                <w:rFonts w:hint="eastAsia" w:ascii="宋体" w:hAnsi="宋体" w:cs="宋体"/>
                <w:highlight w:val="none"/>
              </w:rPr>
              <w:t>支持31+1路有线同声传译，连接红外同声传译或录音设备；</w:t>
            </w:r>
          </w:p>
          <w:p>
            <w:pPr>
              <w:snapToGrid w:val="0"/>
              <w:spacing w:line="400" w:lineRule="exact"/>
              <w:ind w:firstLine="480"/>
              <w:rPr>
                <w:rFonts w:ascii="宋体" w:hAnsi="宋体" w:cs="宋体"/>
                <w:highlight w:val="none"/>
              </w:rPr>
            </w:pPr>
            <w:r>
              <w:rPr>
                <w:rFonts w:hint="eastAsia" w:ascii="宋体" w:hAnsi="宋体" w:cs="宋体"/>
                <w:highlight w:val="none"/>
              </w:rPr>
              <w:t>★具有RCA，凤凰头，卡侬头三种不同音频输入接口，支持平衡和非平衡连接，支持4路音频混音输入，支持远程视频会议声音的过滤防止声音回输；输入音频可单独调节；</w:t>
            </w:r>
          </w:p>
          <w:p>
            <w:pPr>
              <w:snapToGrid w:val="0"/>
              <w:spacing w:line="400" w:lineRule="exact"/>
              <w:ind w:firstLine="480"/>
              <w:rPr>
                <w:rFonts w:ascii="宋体" w:hAnsi="宋体" w:cs="宋体"/>
                <w:highlight w:val="none"/>
              </w:rPr>
            </w:pPr>
            <w:r>
              <w:rPr>
                <w:rFonts w:hint="eastAsia" w:ascii="宋体" w:hAnsi="宋体" w:cs="宋体"/>
                <w:highlight w:val="none"/>
              </w:rPr>
              <w:t>具有RCA，凤凰头，卡侬头三种不同音频输出接口，支持平衡和非平衡连接，支持会议单元分区，支持4路扬声器分区输出，4路输出音量可分别调节。</w:t>
            </w:r>
          </w:p>
          <w:p>
            <w:pPr>
              <w:snapToGrid w:val="0"/>
              <w:spacing w:line="400" w:lineRule="exact"/>
              <w:ind w:firstLine="480"/>
              <w:rPr>
                <w:rFonts w:ascii="宋体" w:hAnsi="宋体" w:cs="宋体"/>
                <w:highlight w:val="none"/>
              </w:rPr>
            </w:pPr>
            <w:r>
              <w:rPr>
                <w:rFonts w:hint="eastAsia" w:ascii="宋体" w:hAnsi="宋体" w:cs="宋体"/>
                <w:highlight w:val="none"/>
              </w:rPr>
              <w:t>主机和PC软件统一管理会议单元和智能故障分析，能分析会议单元类型、数量、分布、故障等；</w:t>
            </w:r>
          </w:p>
          <w:p>
            <w:pPr>
              <w:snapToGrid w:val="0"/>
              <w:spacing w:line="400" w:lineRule="exact"/>
              <w:ind w:firstLine="480"/>
              <w:rPr>
                <w:rFonts w:ascii="宋体" w:hAnsi="宋体" w:cs="宋体"/>
                <w:highlight w:val="none"/>
              </w:rPr>
            </w:pPr>
            <w:r>
              <w:rPr>
                <w:rFonts w:hint="eastAsia" w:ascii="宋体" w:hAnsi="宋体" w:cs="宋体"/>
                <w:highlight w:val="none"/>
              </w:rPr>
              <w:t>双机热备份，双主机中任何一台主机故障，系统能正常运行，会议不会中断，继续发言投票表决等；</w:t>
            </w:r>
          </w:p>
          <w:p>
            <w:pPr>
              <w:snapToGrid w:val="0"/>
              <w:spacing w:line="400" w:lineRule="exact"/>
              <w:ind w:firstLine="480"/>
              <w:rPr>
                <w:rFonts w:ascii="宋体" w:hAnsi="宋体" w:cs="宋体"/>
                <w:highlight w:val="none"/>
              </w:rPr>
            </w:pPr>
            <w:r>
              <w:rPr>
                <w:rFonts w:hint="eastAsia" w:ascii="宋体" w:hAnsi="宋体" w:cs="宋体"/>
                <w:highlight w:val="none"/>
              </w:rPr>
              <w:t>支持8芯会议专用线缆和超6类网线两种走线方式，系统采用环形手拉手连接方式；</w:t>
            </w:r>
          </w:p>
          <w:p>
            <w:pPr>
              <w:snapToGrid w:val="0"/>
              <w:spacing w:line="400" w:lineRule="exact"/>
              <w:ind w:firstLine="480"/>
              <w:rPr>
                <w:rFonts w:ascii="宋体" w:hAnsi="宋体" w:cs="宋体"/>
                <w:highlight w:val="none"/>
              </w:rPr>
            </w:pPr>
            <w:r>
              <w:rPr>
                <w:rFonts w:hint="eastAsia" w:ascii="宋体" w:hAnsi="宋体" w:cs="宋体"/>
                <w:highlight w:val="none"/>
              </w:rPr>
              <w:t>具有四种会议模式：FIFO（先进先出模式）、NORMAL（普通模式）、FREE（自由模式）、APPLY（申请模式）；</w:t>
            </w:r>
          </w:p>
          <w:p>
            <w:pPr>
              <w:snapToGrid w:val="0"/>
              <w:spacing w:line="400" w:lineRule="exact"/>
              <w:ind w:firstLine="480"/>
              <w:rPr>
                <w:rFonts w:ascii="宋体" w:hAnsi="宋体" w:cs="宋体"/>
                <w:highlight w:val="none"/>
              </w:rPr>
            </w:pPr>
            <w:r>
              <w:rPr>
                <w:rFonts w:hint="eastAsia" w:ascii="宋体" w:hAnsi="宋体" w:cs="宋体"/>
                <w:highlight w:val="none"/>
              </w:rPr>
              <w:t>主席单元具备优先权功能，可以关闭正在发言的代表单元；主席单元具有发起投票、结束投票功能。主席单元可以发起三键表决（赞成、反对、弃权）；</w:t>
            </w:r>
          </w:p>
          <w:p>
            <w:pPr>
              <w:snapToGrid w:val="0"/>
              <w:spacing w:line="400" w:lineRule="exact"/>
              <w:ind w:firstLine="480"/>
              <w:rPr>
                <w:rFonts w:ascii="宋体" w:hAnsi="宋体" w:cs="宋体"/>
                <w:highlight w:val="none"/>
              </w:rPr>
            </w:pPr>
            <w:r>
              <w:rPr>
                <w:rFonts w:hint="eastAsia" w:ascii="宋体" w:hAnsi="宋体" w:cs="宋体"/>
                <w:highlight w:val="none"/>
              </w:rPr>
              <w:t>内含摄像跟踪模块，兼容所有目前流行的摄像机类型，协议共享；</w:t>
            </w:r>
          </w:p>
          <w:p>
            <w:pPr>
              <w:snapToGrid w:val="0"/>
              <w:spacing w:line="400" w:lineRule="exact"/>
              <w:ind w:firstLine="480"/>
              <w:rPr>
                <w:rFonts w:ascii="宋体" w:hAnsi="宋体" w:cs="宋体"/>
                <w:highlight w:val="none"/>
              </w:rPr>
            </w:pPr>
            <w:r>
              <w:rPr>
                <w:rFonts w:hint="eastAsia" w:ascii="宋体" w:hAnsi="宋体" w:cs="宋体"/>
                <w:highlight w:val="none"/>
              </w:rPr>
              <w:t>★与集中管控综合服务管理平台兼容：能够实时监测会议系统的端口、IP在线情况,实时显示话筒开关状态，当运行出现故障时5秒内及时提示用户，信息提示方式可设置为首页弹窗提示或后台图标提示；</w:t>
            </w:r>
          </w:p>
          <w:p>
            <w:pPr>
              <w:snapToGrid w:val="0"/>
              <w:spacing w:line="400" w:lineRule="exact"/>
              <w:ind w:firstLine="480"/>
              <w:rPr>
                <w:rFonts w:ascii="宋体" w:hAnsi="宋体" w:cs="宋体"/>
                <w:highlight w:val="none"/>
              </w:rPr>
            </w:pPr>
            <w:r>
              <w:rPr>
                <w:rFonts w:hint="eastAsia" w:ascii="宋体" w:hAnsi="宋体" w:cs="宋体"/>
                <w:highlight w:val="none"/>
              </w:rPr>
              <w:t>★与智能语音控制系统兼容：支持会议系统输出音频直接对接语音服务器，通过口令关键字识别转换指令控制灯光开关、窗帘开合、音视频的切换、拼接屏的场景调用、视频的播放、暂停、停止等功能；</w:t>
            </w:r>
          </w:p>
          <w:p>
            <w:pPr>
              <w:snapToGrid w:val="0"/>
              <w:spacing w:line="400" w:lineRule="exact"/>
              <w:ind w:firstLine="480"/>
              <w:rPr>
                <w:rFonts w:ascii="宋体" w:hAnsi="宋体" w:cs="宋体"/>
                <w:highlight w:val="none"/>
              </w:rPr>
            </w:pPr>
            <w:r>
              <w:rPr>
                <w:rFonts w:hint="eastAsia" w:ascii="宋体" w:hAnsi="宋体" w:cs="宋体"/>
                <w:highlight w:val="none"/>
              </w:rPr>
              <w:t>支持中控系统控制会议单元的麦克风开关控制、模式设置、发言人数设置等；</w:t>
            </w:r>
          </w:p>
          <w:p>
            <w:pPr>
              <w:snapToGrid w:val="0"/>
              <w:spacing w:line="360" w:lineRule="auto"/>
              <w:ind w:firstLine="480"/>
              <w:rPr>
                <w:rFonts w:ascii="宋体" w:hAnsi="宋体" w:cs="宋体"/>
                <w:highlight w:val="none"/>
              </w:rPr>
            </w:pPr>
            <w:r>
              <w:rPr>
                <w:rFonts w:hint="eastAsia" w:ascii="宋体" w:hAnsi="宋体" w:cs="宋体"/>
                <w:highlight w:val="none"/>
              </w:rPr>
              <w:t>★MTBF≥100000小时；</w:t>
            </w:r>
          </w:p>
          <w:p>
            <w:pPr>
              <w:snapToGrid w:val="0"/>
              <w:spacing w:line="360" w:lineRule="auto"/>
              <w:ind w:firstLine="480"/>
              <w:rPr>
                <w:rFonts w:ascii="宋体" w:hAnsi="宋体" w:cs="宋体"/>
                <w:highlight w:val="none"/>
              </w:rPr>
            </w:pPr>
            <w:r>
              <w:rPr>
                <w:rFonts w:hint="eastAsia" w:ascii="宋体" w:hAnsi="宋体" w:cs="宋体"/>
                <w:highlight w:val="none"/>
              </w:rPr>
              <w:t>③全数字会议代表单元服务配套</w:t>
            </w:r>
            <w:r>
              <w:rPr>
                <w:rFonts w:ascii="宋体" w:hAnsi="宋体" w:cs="宋体"/>
                <w:highlight w:val="none"/>
              </w:rPr>
              <w:t>5</w:t>
            </w:r>
            <w:r>
              <w:rPr>
                <w:rFonts w:hint="eastAsia" w:ascii="宋体" w:hAnsi="宋体" w:cs="宋体"/>
                <w:highlight w:val="none"/>
              </w:rPr>
              <w:t>套</w:t>
            </w:r>
          </w:p>
          <w:p>
            <w:pPr>
              <w:snapToGrid w:val="0"/>
              <w:spacing w:line="360" w:lineRule="auto"/>
              <w:ind w:firstLine="480"/>
              <w:rPr>
                <w:rFonts w:ascii="宋体" w:hAnsi="宋体" w:cs="宋体"/>
                <w:highlight w:val="none"/>
              </w:rPr>
            </w:pPr>
            <w:r>
              <w:rPr>
                <w:rFonts w:hint="eastAsia" w:ascii="宋体" w:hAnsi="宋体" w:cs="宋体"/>
                <w:highlight w:val="none"/>
              </w:rPr>
              <w:t>采用超短全金属短咪杆设计，时尚大方，采集声音清晰，支持摄像联动跟踪功能。</w:t>
            </w:r>
          </w:p>
          <w:p>
            <w:pPr>
              <w:snapToGrid w:val="0"/>
              <w:spacing w:line="360" w:lineRule="auto"/>
              <w:ind w:firstLine="480"/>
              <w:rPr>
                <w:rFonts w:ascii="宋体" w:hAnsi="宋体" w:cs="宋体"/>
                <w:highlight w:val="none"/>
              </w:rPr>
            </w:pPr>
            <w:r>
              <w:rPr>
                <w:rFonts w:hint="eastAsia" w:ascii="宋体" w:hAnsi="宋体" w:cs="宋体"/>
                <w:highlight w:val="none"/>
              </w:rPr>
              <w:t xml:space="preserve">咪芯类型电容式心型单指向性；频率响应：20HZ~48KHZ ； </w:t>
            </w:r>
          </w:p>
          <w:p>
            <w:pPr>
              <w:snapToGrid w:val="0"/>
              <w:spacing w:line="360" w:lineRule="auto"/>
              <w:ind w:firstLine="480"/>
              <w:rPr>
                <w:rFonts w:ascii="宋体" w:hAnsi="宋体" w:cs="宋体"/>
                <w:highlight w:val="none"/>
              </w:rPr>
            </w:pPr>
            <w:r>
              <w:rPr>
                <w:rFonts w:hint="eastAsia" w:ascii="宋体" w:hAnsi="宋体" w:cs="宋体"/>
                <w:highlight w:val="none"/>
              </w:rPr>
              <w:t xml:space="preserve">代表单元采用短咪杆化设计，超感音质，高保真，零延时，抗干扰能力强； </w:t>
            </w:r>
          </w:p>
          <w:p>
            <w:pPr>
              <w:snapToGrid w:val="0"/>
              <w:spacing w:line="360" w:lineRule="auto"/>
              <w:ind w:firstLine="480"/>
              <w:rPr>
                <w:rFonts w:ascii="宋体" w:hAnsi="宋体" w:cs="宋体"/>
                <w:highlight w:val="none"/>
              </w:rPr>
            </w:pPr>
            <w:r>
              <w:rPr>
                <w:rFonts w:hint="eastAsia" w:ascii="宋体" w:hAnsi="宋体" w:cs="宋体"/>
                <w:highlight w:val="none"/>
              </w:rPr>
              <w:t xml:space="preserve">★自带双网口设计，可实现单元手拉手功能； </w:t>
            </w:r>
          </w:p>
          <w:p>
            <w:pPr>
              <w:snapToGrid w:val="0"/>
              <w:spacing w:line="360" w:lineRule="auto"/>
              <w:ind w:firstLine="480"/>
              <w:rPr>
                <w:rFonts w:ascii="宋体" w:hAnsi="宋体" w:cs="宋体"/>
                <w:highlight w:val="none"/>
              </w:rPr>
            </w:pPr>
            <w:r>
              <w:rPr>
                <w:rFonts w:hint="eastAsia" w:ascii="宋体" w:hAnsi="宋体" w:cs="宋体"/>
                <w:highlight w:val="none"/>
              </w:rPr>
              <w:t xml:space="preserve">具有3.5MM耳机插口及音量调节旋钮； </w:t>
            </w:r>
          </w:p>
          <w:p>
            <w:pPr>
              <w:snapToGrid w:val="0"/>
              <w:spacing w:line="360" w:lineRule="auto"/>
              <w:ind w:firstLine="480"/>
              <w:rPr>
                <w:rFonts w:ascii="宋体" w:hAnsi="宋体" w:cs="宋体"/>
                <w:highlight w:val="none"/>
              </w:rPr>
            </w:pPr>
            <w:r>
              <w:rPr>
                <w:rFonts w:hint="eastAsia" w:ascii="宋体" w:hAnsi="宋体" w:cs="宋体"/>
                <w:highlight w:val="none"/>
              </w:rPr>
              <w:t>主席单元具备发言优先权，长按麦克风可关闭所有代表单元；</w:t>
            </w:r>
          </w:p>
          <w:p>
            <w:pPr>
              <w:snapToGrid w:val="0"/>
              <w:spacing w:line="360" w:lineRule="auto"/>
              <w:ind w:firstLine="480"/>
              <w:rPr>
                <w:rFonts w:ascii="宋体" w:hAnsi="宋体" w:cs="宋体"/>
                <w:highlight w:val="none"/>
              </w:rPr>
            </w:pPr>
            <w:r>
              <w:rPr>
                <w:rFonts w:hint="eastAsia" w:ascii="宋体" w:hAnsi="宋体" w:cs="宋体"/>
                <w:highlight w:val="none"/>
              </w:rPr>
              <w:t>高性能的音质处理技术，高保真，零延时，抗干扰；</w:t>
            </w:r>
          </w:p>
          <w:p>
            <w:pPr>
              <w:snapToGrid w:val="0"/>
              <w:spacing w:line="360" w:lineRule="auto"/>
              <w:ind w:firstLine="480"/>
              <w:rPr>
                <w:rFonts w:ascii="宋体" w:hAnsi="宋体" w:cs="宋体"/>
                <w:highlight w:val="none"/>
              </w:rPr>
            </w:pPr>
            <w:r>
              <w:rPr>
                <w:rFonts w:hint="eastAsia" w:ascii="宋体" w:hAnsi="宋体" w:cs="宋体"/>
                <w:highlight w:val="none"/>
              </w:rPr>
              <w:t>超感按键：色彩醒目，造型宽大，手感一流的发言按键，开关麦克风静音设计；</w:t>
            </w:r>
          </w:p>
          <w:p>
            <w:pPr>
              <w:snapToGrid w:val="0"/>
              <w:spacing w:line="360" w:lineRule="auto"/>
              <w:ind w:firstLine="480"/>
              <w:rPr>
                <w:rFonts w:ascii="宋体" w:hAnsi="宋体" w:cs="宋体"/>
                <w:highlight w:val="none"/>
              </w:rPr>
            </w:pPr>
            <w:r>
              <w:rPr>
                <w:rFonts w:hint="eastAsia" w:ascii="宋体" w:hAnsi="宋体" w:cs="宋体"/>
                <w:highlight w:val="none"/>
              </w:rPr>
              <w:t>供电方式：主机/电源扩展盒供电，连接方式采用CAT5/6类网线，布线简单，便于施工安装。</w:t>
            </w:r>
          </w:p>
          <w:p>
            <w:pPr>
              <w:snapToGrid w:val="0"/>
              <w:spacing w:line="360" w:lineRule="auto"/>
              <w:ind w:firstLine="480"/>
              <w:rPr>
                <w:rFonts w:ascii="宋体" w:hAnsi="宋体" w:cs="宋体"/>
                <w:highlight w:val="none"/>
              </w:rPr>
            </w:pPr>
            <w:r>
              <w:rPr>
                <w:rFonts w:hint="eastAsia" w:ascii="宋体" w:hAnsi="宋体" w:cs="宋体"/>
                <w:highlight w:val="none"/>
              </w:rPr>
              <w:t>4、安全系统升级服务配套</w:t>
            </w:r>
          </w:p>
          <w:p>
            <w:pPr>
              <w:snapToGrid w:val="0"/>
              <w:spacing w:line="360" w:lineRule="auto"/>
              <w:ind w:firstLine="480"/>
              <w:rPr>
                <w:rFonts w:ascii="宋体" w:hAnsi="宋体" w:cs="宋体"/>
                <w:highlight w:val="none"/>
              </w:rPr>
            </w:pPr>
            <w:r>
              <w:rPr>
                <w:rFonts w:hint="eastAsia" w:ascii="宋体" w:hAnsi="宋体" w:cs="宋体"/>
                <w:highlight w:val="none"/>
              </w:rPr>
              <w:t>①漏洞扫描系统服务配套1套</w:t>
            </w:r>
          </w:p>
          <w:p>
            <w:pPr>
              <w:snapToGrid w:val="0"/>
              <w:spacing w:line="360" w:lineRule="auto"/>
              <w:ind w:firstLine="480"/>
              <w:rPr>
                <w:rFonts w:ascii="宋体" w:hAnsi="宋体" w:cs="宋体"/>
                <w:highlight w:val="none"/>
              </w:rPr>
            </w:pPr>
            <w:r>
              <w:rPr>
                <w:rFonts w:hint="eastAsia" w:ascii="宋体" w:hAnsi="宋体" w:cs="宋体"/>
                <w:highlight w:val="none"/>
              </w:rPr>
              <w:t>性能指标：系统漏扫授权IP数≥100，WEB漏扫授权URL数≥20；主机漏扫最大并发IP数≥150，WEB漏扫最大并发URL数≥5。</w:t>
            </w:r>
          </w:p>
          <w:p>
            <w:pPr>
              <w:snapToGrid w:val="0"/>
              <w:spacing w:line="360" w:lineRule="auto"/>
              <w:ind w:firstLine="480"/>
              <w:rPr>
                <w:rFonts w:ascii="宋体" w:hAnsi="宋体" w:cs="宋体"/>
                <w:highlight w:val="none"/>
              </w:rPr>
            </w:pPr>
            <w:r>
              <w:rPr>
                <w:rFonts w:hint="eastAsia" w:ascii="宋体" w:hAnsi="宋体" w:cs="宋体"/>
                <w:highlight w:val="none"/>
              </w:rPr>
              <w:t xml:space="preserve">功能指标：1U规格，单电源，内存≥8G，硬盘容量≥128GB SSD+ 2TB SATA，标配≥6个千兆电口，标配≥2个千兆光口。 </w:t>
            </w:r>
          </w:p>
          <w:p>
            <w:pPr>
              <w:snapToGrid w:val="0"/>
              <w:spacing w:line="360" w:lineRule="auto"/>
              <w:ind w:firstLine="480"/>
              <w:rPr>
                <w:rFonts w:ascii="宋体" w:hAnsi="宋体" w:cs="宋体"/>
                <w:highlight w:val="none"/>
              </w:rPr>
            </w:pPr>
            <w:r>
              <w:rPr>
                <w:rFonts w:hint="eastAsia" w:ascii="宋体" w:hAnsi="宋体" w:cs="宋体"/>
                <w:highlight w:val="none"/>
              </w:rPr>
              <w:t>支持全局风险统计功能，通过扇形图、条状图、标签、表格等形式直观展示资产风险分布、漏洞风险等级分布等信息，并可查看详情。；</w:t>
            </w:r>
          </w:p>
          <w:p>
            <w:pPr>
              <w:snapToGrid w:val="0"/>
              <w:spacing w:line="360" w:lineRule="auto"/>
              <w:ind w:firstLine="480"/>
              <w:rPr>
                <w:rFonts w:ascii="宋体" w:hAnsi="宋体" w:cs="宋体"/>
                <w:highlight w:val="none"/>
              </w:rPr>
            </w:pPr>
            <w:r>
              <w:rPr>
                <w:rFonts w:hint="eastAsia" w:ascii="宋体" w:hAnsi="宋体" w:cs="宋体"/>
                <w:highlight w:val="none"/>
              </w:rPr>
              <w:t>支持全局风险统计时段自定义，展示近3个月、6个月、1年或自定义统计区间的风险分布和详情，时间跨度不限制；</w:t>
            </w:r>
          </w:p>
          <w:p>
            <w:pPr>
              <w:snapToGrid w:val="0"/>
              <w:spacing w:line="360" w:lineRule="auto"/>
              <w:ind w:firstLine="480"/>
              <w:rPr>
                <w:rFonts w:ascii="宋体" w:hAnsi="宋体" w:cs="宋体"/>
                <w:highlight w:val="none"/>
              </w:rPr>
            </w:pPr>
            <w:r>
              <w:rPr>
                <w:rFonts w:hint="eastAsia" w:ascii="宋体" w:hAnsi="宋体" w:cs="宋体"/>
                <w:highlight w:val="none"/>
              </w:rPr>
              <w:t>支持从“高危”、“中危”、“低危”、“安全”四个安全级别展示资产的风险分布情况；</w:t>
            </w:r>
          </w:p>
          <w:p>
            <w:pPr>
              <w:snapToGrid w:val="0"/>
              <w:spacing w:line="360" w:lineRule="auto"/>
              <w:ind w:firstLine="480"/>
              <w:rPr>
                <w:rFonts w:ascii="宋体" w:hAnsi="宋体" w:cs="宋体"/>
                <w:highlight w:val="none"/>
              </w:rPr>
            </w:pPr>
            <w:r>
              <w:rPr>
                <w:rFonts w:hint="eastAsia" w:ascii="宋体" w:hAnsi="宋体" w:cs="宋体"/>
                <w:highlight w:val="none"/>
              </w:rPr>
              <w:t>支持从主机视角呈现当前关键资产的漏洞风险信息，可从“高”、“中”、“低”、“信息”四个等级划分漏洞风险等级，支持客户对于重要资产标记为“核心资产”，便于根据资产价值确定修复优先级；</w:t>
            </w:r>
          </w:p>
          <w:p>
            <w:pPr>
              <w:snapToGrid w:val="0"/>
              <w:spacing w:line="360" w:lineRule="auto"/>
              <w:ind w:firstLine="480"/>
              <w:rPr>
                <w:rFonts w:ascii="宋体" w:hAnsi="宋体" w:cs="宋体"/>
                <w:highlight w:val="none"/>
              </w:rPr>
            </w:pPr>
            <w:r>
              <w:rPr>
                <w:rFonts w:hint="eastAsia" w:ascii="宋体" w:hAnsi="宋体" w:cs="宋体"/>
                <w:highlight w:val="none"/>
              </w:rPr>
              <w:t>支持全面扫描、资产发现、系统漏洞扫描、弱口令扫描、WEB漏洞扫描、基线配置核查六种任务类型；</w:t>
            </w:r>
          </w:p>
          <w:p>
            <w:pPr>
              <w:snapToGrid w:val="0"/>
              <w:spacing w:line="360" w:lineRule="auto"/>
              <w:ind w:firstLine="480"/>
              <w:rPr>
                <w:rFonts w:ascii="宋体" w:hAnsi="宋体" w:cs="宋体"/>
                <w:highlight w:val="none"/>
              </w:rPr>
            </w:pPr>
            <w:r>
              <w:rPr>
                <w:rFonts w:hint="eastAsia" w:ascii="宋体" w:hAnsi="宋体" w:cs="宋体"/>
                <w:highlight w:val="none"/>
              </w:rPr>
              <w:t>支持资产发现功能，可基于IP地址、IP网段、IP范围、URL等方式进行资产发现扫描，支持EXCEL格式批量导入；</w:t>
            </w:r>
          </w:p>
          <w:p>
            <w:pPr>
              <w:snapToGrid w:val="0"/>
              <w:spacing w:line="360" w:lineRule="auto"/>
              <w:ind w:firstLine="480"/>
              <w:rPr>
                <w:rFonts w:ascii="宋体" w:hAnsi="宋体" w:cs="宋体"/>
                <w:highlight w:val="none"/>
              </w:rPr>
            </w:pPr>
            <w:r>
              <w:rPr>
                <w:rFonts w:hint="eastAsia" w:ascii="宋体" w:hAnsi="宋体" w:cs="宋体"/>
                <w:highlight w:val="none"/>
              </w:rPr>
              <w:t>支持检测的漏洞数大于10000条，兼容CVE、CNNVD、CNVD、Bugtraq等主流标准；</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支持紧急漏洞进行单独评估，实现紧急漏洞批量排查，包括Microsoft Windows RDP 远程代码执行漏洞（CVE-2019-0708）、OpenSSL Heartbleed 心脏滴血漏洞（CVE-2014-0160）、Windows SMB 远程代码执行漏洞（MS08-067）、Windows SMB 远程代码执行漏洞（MS17-010）等； </w:t>
            </w:r>
          </w:p>
          <w:p>
            <w:pPr>
              <w:snapToGrid w:val="0"/>
              <w:spacing w:line="360" w:lineRule="auto"/>
              <w:ind w:firstLine="480"/>
              <w:rPr>
                <w:rFonts w:ascii="宋体" w:hAnsi="宋体" w:cs="宋体"/>
                <w:highlight w:val="none"/>
              </w:rPr>
            </w:pPr>
            <w:r>
              <w:rPr>
                <w:rFonts w:hint="eastAsia" w:ascii="宋体" w:hAnsi="宋体" w:cs="宋体"/>
                <w:highlight w:val="none"/>
              </w:rPr>
              <w:t>内置不同的系统漏洞模板，包括高可利用系统漏洞、原理检测系统漏洞、中间件漏洞、数据库漏洞等类型，支持报表形式展示漏洞模板风险等级分布概览；</w:t>
            </w:r>
          </w:p>
          <w:p>
            <w:pPr>
              <w:snapToGrid w:val="0"/>
              <w:spacing w:line="360" w:lineRule="auto"/>
              <w:ind w:firstLine="480"/>
              <w:rPr>
                <w:rFonts w:ascii="宋体" w:hAnsi="宋体" w:cs="宋体"/>
                <w:highlight w:val="none"/>
              </w:rPr>
            </w:pPr>
            <w:r>
              <w:rPr>
                <w:rFonts w:hint="eastAsia" w:ascii="宋体" w:hAnsi="宋体" w:cs="宋体"/>
                <w:highlight w:val="none"/>
              </w:rPr>
              <w:t>系统漏洞扫描支持高级配置功能，可支持端口扫描策略配置、UDP扫描启用、危险插件扫描启用等配置功能；</w:t>
            </w:r>
          </w:p>
          <w:p>
            <w:pPr>
              <w:snapToGrid w:val="0"/>
              <w:spacing w:line="360" w:lineRule="auto"/>
              <w:ind w:firstLine="480"/>
              <w:rPr>
                <w:rFonts w:ascii="宋体" w:hAnsi="宋体" w:cs="宋体"/>
                <w:highlight w:val="none"/>
              </w:rPr>
            </w:pPr>
            <w:r>
              <w:rPr>
                <w:rFonts w:hint="eastAsia" w:ascii="宋体" w:hAnsi="宋体" w:cs="宋体"/>
                <w:highlight w:val="none"/>
              </w:rPr>
              <w:t>系统漏洞扫描支持任务立即执行和指定时间执行两种执行方式，且指定时间可以精确到分钟；</w:t>
            </w:r>
          </w:p>
          <w:p>
            <w:pPr>
              <w:snapToGrid w:val="0"/>
              <w:spacing w:line="360" w:lineRule="auto"/>
              <w:ind w:firstLine="480"/>
              <w:rPr>
                <w:rFonts w:ascii="宋体" w:hAnsi="宋体" w:cs="宋体"/>
                <w:highlight w:val="none"/>
              </w:rPr>
            </w:pPr>
            <w:r>
              <w:rPr>
                <w:rFonts w:hint="eastAsia" w:ascii="宋体" w:hAnsi="宋体" w:cs="宋体"/>
                <w:highlight w:val="none"/>
              </w:rPr>
              <w:t>支持行业通用标准OWASP，支持通用WEB漏洞检测，如：SQL注入、XSS、目录遍历、本地/远程文件包含漏洞、安全配置错误、命令执行、敏感信息泄露等；</w:t>
            </w:r>
          </w:p>
          <w:p>
            <w:pPr>
              <w:snapToGrid w:val="0"/>
              <w:spacing w:line="360" w:lineRule="auto"/>
              <w:ind w:firstLine="480"/>
              <w:rPr>
                <w:rFonts w:ascii="宋体" w:hAnsi="宋体" w:cs="宋体"/>
                <w:highlight w:val="none"/>
              </w:rPr>
            </w:pPr>
            <w:r>
              <w:rPr>
                <w:rFonts w:hint="eastAsia" w:ascii="宋体" w:hAnsi="宋体" w:cs="宋体"/>
                <w:highlight w:val="none"/>
              </w:rPr>
              <w:t>内置不同的WEB漏洞模板，包括高可利用WEB漏洞、通用应用漏洞、SQL注入漏洞、XSS注入漏洞等类型，支持报表形式展示漏洞模板风险等级分布概览；</w:t>
            </w:r>
          </w:p>
          <w:p>
            <w:pPr>
              <w:snapToGrid w:val="0"/>
              <w:spacing w:line="360" w:lineRule="auto"/>
              <w:ind w:firstLine="480"/>
              <w:rPr>
                <w:rFonts w:ascii="宋体" w:hAnsi="宋体" w:cs="宋体"/>
                <w:highlight w:val="none"/>
              </w:rPr>
            </w:pPr>
            <w:r>
              <w:rPr>
                <w:rFonts w:hint="eastAsia" w:ascii="宋体" w:hAnsi="宋体" w:cs="宋体"/>
                <w:highlight w:val="none"/>
              </w:rPr>
              <w:t>WEB漏洞扫描支持高级配置功能，可支持fuzz测试启用、WEB访问策略、WEB爬行策略等配置功能。支持并发线程数、超时限制、目录深度、链接总数自定义配置；</w:t>
            </w:r>
          </w:p>
          <w:p>
            <w:pPr>
              <w:snapToGrid w:val="0"/>
              <w:spacing w:line="360" w:lineRule="auto"/>
              <w:ind w:firstLine="480"/>
              <w:rPr>
                <w:rFonts w:ascii="宋体" w:hAnsi="宋体" w:cs="宋体"/>
                <w:highlight w:val="none"/>
              </w:rPr>
            </w:pPr>
            <w:r>
              <w:rPr>
                <w:rFonts w:hint="eastAsia" w:ascii="宋体" w:hAnsi="宋体" w:cs="宋体"/>
                <w:highlight w:val="none"/>
              </w:rPr>
              <w:t>产品支持对系统漏洞、WEB漏洞、基线配置、弱口令进行扫描和分析，可同时输出包含系统漏洞扫描、WEB漏洞扫描、基线配置核查、弱口令扫描结果的报表；</w:t>
            </w:r>
          </w:p>
          <w:p>
            <w:pPr>
              <w:snapToGrid w:val="0"/>
              <w:spacing w:line="360" w:lineRule="auto"/>
              <w:ind w:firstLine="480"/>
              <w:rPr>
                <w:rFonts w:ascii="宋体" w:hAnsi="宋体" w:cs="宋体"/>
                <w:highlight w:val="none"/>
              </w:rPr>
            </w:pPr>
            <w:r>
              <w:rPr>
                <w:rFonts w:hint="eastAsia" w:ascii="宋体" w:hAnsi="宋体" w:cs="宋体"/>
                <w:highlight w:val="none"/>
              </w:rPr>
              <w:t>②终端杀毒软件系统服务配套1套</w:t>
            </w:r>
          </w:p>
          <w:p>
            <w:pPr>
              <w:snapToGrid w:val="0"/>
              <w:spacing w:line="360" w:lineRule="auto"/>
              <w:ind w:firstLine="480"/>
              <w:rPr>
                <w:rFonts w:ascii="宋体" w:hAnsi="宋体" w:cs="宋体"/>
                <w:highlight w:val="none"/>
              </w:rPr>
            </w:pPr>
            <w:r>
              <w:rPr>
                <w:rFonts w:hint="eastAsia" w:ascii="宋体" w:hAnsi="宋体" w:cs="宋体"/>
                <w:highlight w:val="none"/>
              </w:rPr>
              <w:t>产品可以纯软件交付，包含管理控制中心软件及终端客户端软件，其中管理控制中心可云化部署；同时也支持硬件管理平台交付；</w:t>
            </w:r>
          </w:p>
          <w:p>
            <w:pPr>
              <w:snapToGrid w:val="0"/>
              <w:spacing w:line="360" w:lineRule="auto"/>
              <w:ind w:firstLine="480"/>
              <w:rPr>
                <w:rFonts w:ascii="宋体" w:hAnsi="宋体" w:cs="宋体"/>
                <w:highlight w:val="none"/>
              </w:rPr>
            </w:pPr>
            <w:r>
              <w:rPr>
                <w:rFonts w:hint="eastAsia" w:ascii="宋体" w:hAnsi="宋体" w:cs="宋体"/>
                <w:highlight w:val="none"/>
              </w:rPr>
              <w:t>管理平台要求其操作系统为64位的Centos7或ubuntu操作系统；</w:t>
            </w:r>
          </w:p>
          <w:p>
            <w:pPr>
              <w:snapToGrid w:val="0"/>
              <w:spacing w:line="360" w:lineRule="auto"/>
              <w:ind w:firstLine="480"/>
              <w:rPr>
                <w:rFonts w:ascii="宋体" w:hAnsi="宋体" w:cs="宋体"/>
                <w:highlight w:val="none"/>
              </w:rPr>
            </w:pPr>
            <w:r>
              <w:rPr>
                <w:rFonts w:hint="eastAsia" w:ascii="宋体" w:hAnsi="宋体" w:cs="宋体"/>
                <w:highlight w:val="none"/>
              </w:rPr>
              <w:t>客户端支持Windows XP/Windows Vista/Windows 7/Windows 8/Windows 8.1/Windows 10；</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支持全网风险展示，包括但不限于未处理的勒索病毒数量、暴力破解数量、高危漏洞及其各自影响的终端数量； </w:t>
            </w:r>
          </w:p>
          <w:p>
            <w:pPr>
              <w:snapToGrid w:val="0"/>
              <w:spacing w:line="360" w:lineRule="auto"/>
              <w:ind w:firstLine="480"/>
              <w:rPr>
                <w:rFonts w:ascii="宋体" w:hAnsi="宋体" w:cs="宋体"/>
                <w:highlight w:val="none"/>
              </w:rPr>
            </w:pPr>
            <w:r>
              <w:rPr>
                <w:rFonts w:hint="eastAsia" w:ascii="宋体" w:hAnsi="宋体" w:cs="宋体"/>
                <w:highlight w:val="none"/>
              </w:rPr>
              <w:t>支持按“最近7天”、“最近30天”、“最近三个月”不同时间维度展示病毒查杀事件爆发趋势和病毒TOP5排行榜，并展示对应的事件数及终端数；</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支持同时展示跟同品牌下一代防火墙、安全感知平台、上网行为管理的联动状态； </w:t>
            </w:r>
          </w:p>
          <w:p>
            <w:pPr>
              <w:snapToGrid w:val="0"/>
              <w:spacing w:line="360" w:lineRule="auto"/>
              <w:ind w:firstLine="480"/>
              <w:rPr>
                <w:rFonts w:ascii="宋体" w:hAnsi="宋体" w:cs="宋体"/>
                <w:highlight w:val="none"/>
              </w:rPr>
            </w:pPr>
            <w:r>
              <w:rPr>
                <w:rFonts w:hint="eastAsia" w:ascii="宋体" w:hAnsi="宋体" w:cs="宋体"/>
                <w:highlight w:val="none"/>
              </w:rPr>
              <w:t>支持跳转链接至云端安全威胁响应系统，针对已发生的威胁提供详细的分析结果，包含威胁分析、网络行为、静态分析、分析环境和影响分析。</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支持终端自动分组管理，新接入的终端可以根据网段自动分配到对应的分组； </w:t>
            </w:r>
          </w:p>
          <w:p>
            <w:pPr>
              <w:snapToGrid w:val="0"/>
              <w:spacing w:line="360" w:lineRule="auto"/>
              <w:ind w:firstLine="480"/>
              <w:rPr>
                <w:rFonts w:ascii="宋体" w:hAnsi="宋体" w:cs="宋体"/>
                <w:highlight w:val="none"/>
              </w:rPr>
            </w:pPr>
            <w:r>
              <w:rPr>
                <w:rFonts w:hint="eastAsia" w:ascii="宋体" w:hAnsi="宋体" w:cs="宋体"/>
                <w:highlight w:val="none"/>
              </w:rPr>
              <w:t>支持收集并展示单个终端的硬件信息，包括CPU、内存、硬盘、主板、网卡、声卡及显卡信息；</w:t>
            </w:r>
          </w:p>
          <w:p>
            <w:pPr>
              <w:snapToGrid w:val="0"/>
              <w:spacing w:line="360" w:lineRule="auto"/>
              <w:ind w:firstLine="480"/>
              <w:rPr>
                <w:rFonts w:ascii="宋体" w:hAnsi="宋体" w:cs="宋体"/>
                <w:highlight w:val="none"/>
              </w:rPr>
            </w:pPr>
            <w:r>
              <w:rPr>
                <w:rFonts w:hint="eastAsia" w:ascii="宋体" w:hAnsi="宋体" w:cs="宋体"/>
                <w:highlight w:val="none"/>
              </w:rPr>
              <w:t>支持对系统高危端口执行一键封堵；</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支持客户端的错峰升级或灰度升级，可根据实际情况控制客户端同时升级的最大数量，避免大量终端程序同时更新造成网络拥堵或I/O风暴； </w:t>
            </w:r>
          </w:p>
          <w:p>
            <w:pPr>
              <w:snapToGrid w:val="0"/>
              <w:spacing w:line="360" w:lineRule="auto"/>
              <w:ind w:firstLine="480"/>
              <w:rPr>
                <w:rFonts w:ascii="宋体" w:hAnsi="宋体" w:cs="宋体"/>
                <w:highlight w:val="none"/>
              </w:rPr>
            </w:pPr>
            <w:r>
              <w:rPr>
                <w:rFonts w:hint="eastAsia" w:ascii="宋体" w:hAnsi="宋体" w:cs="宋体"/>
                <w:highlight w:val="none"/>
              </w:rPr>
              <w:t>支持配置不同的权限角色，支持超级管理员、普通管理员（管理）、审计管理员（查看）三种权限，并配置可管辖的终端范围，支持管理员账号限制IP登录；支持管理员账号采用用户名密码和USBKey双因素认证；</w:t>
            </w:r>
          </w:p>
          <w:p>
            <w:pPr>
              <w:snapToGrid w:val="0"/>
              <w:spacing w:line="360" w:lineRule="auto"/>
              <w:ind w:firstLine="480"/>
              <w:rPr>
                <w:rFonts w:ascii="宋体" w:hAnsi="宋体" w:cs="宋体"/>
                <w:highlight w:val="none"/>
              </w:rPr>
            </w:pPr>
            <w:r>
              <w:rPr>
                <w:rFonts w:hint="eastAsia" w:ascii="宋体" w:hAnsi="宋体" w:cs="宋体"/>
                <w:highlight w:val="none"/>
              </w:rPr>
              <w:t>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pPr>
              <w:snapToGrid w:val="0"/>
              <w:spacing w:line="360" w:lineRule="auto"/>
              <w:ind w:firstLine="480"/>
              <w:rPr>
                <w:rFonts w:ascii="宋体" w:hAnsi="宋体" w:cs="宋体"/>
                <w:highlight w:val="none"/>
              </w:rPr>
            </w:pPr>
            <w:r>
              <w:rPr>
                <w:rFonts w:hint="eastAsia" w:ascii="宋体" w:hAnsi="宋体" w:cs="宋体"/>
                <w:highlight w:val="none"/>
              </w:rPr>
              <w:t xml:space="preserve">基于勒索病毒攻击过程，建立多维度立体防护机制，提供事前入侵防御-事中反加密-事后检测响应的完整防护体系，展示勒索病毒处置情况，对勒索病毒及变种实现专门有效防御; </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支持基于威胁情报的病毒文件哈希值、行为、域名、网络连接等各项终端系统层、应用层行为数据在全网终端发起搜索，挖掘潜伏攻击，快速定位出全网终端感染该威胁的情况； </w:t>
            </w:r>
          </w:p>
          <w:p>
            <w:pPr>
              <w:snapToGrid w:val="0"/>
              <w:spacing w:line="360" w:lineRule="auto"/>
              <w:ind w:firstLine="480"/>
              <w:rPr>
                <w:rFonts w:ascii="宋体" w:hAnsi="宋体" w:cs="宋体"/>
                <w:highlight w:val="none"/>
              </w:rPr>
            </w:pPr>
            <w:r>
              <w:rPr>
                <w:rFonts w:hint="eastAsia" w:ascii="宋体" w:hAnsi="宋体" w:cs="宋体"/>
                <w:highlight w:val="none"/>
              </w:rPr>
              <w:t>支持监控文件，文件可被实时监控，当勒索病毒对该文件进行修改或加密操作时进行处置 ；</w:t>
            </w:r>
          </w:p>
          <w:p>
            <w:pPr>
              <w:snapToGrid w:val="0"/>
              <w:spacing w:line="360" w:lineRule="auto"/>
              <w:ind w:firstLine="480"/>
              <w:rPr>
                <w:rFonts w:ascii="宋体" w:hAnsi="宋体" w:cs="宋体"/>
                <w:highlight w:val="none"/>
              </w:rPr>
            </w:pPr>
            <w:r>
              <w:rPr>
                <w:rFonts w:hint="eastAsia" w:ascii="宋体" w:hAnsi="宋体" w:cs="宋体"/>
                <w:highlight w:val="none"/>
              </w:rPr>
              <w:t>支持对勒索入侵的主流方式RDP暴破做全方位保护，包括RDP登录校验、RDP文件加白二次校验等功能；</w:t>
            </w:r>
          </w:p>
          <w:p>
            <w:pPr>
              <w:snapToGrid w:val="0"/>
              <w:spacing w:line="360" w:lineRule="auto"/>
              <w:ind w:firstLine="480"/>
              <w:rPr>
                <w:rFonts w:ascii="宋体" w:hAnsi="宋体" w:cs="宋体"/>
                <w:highlight w:val="none"/>
              </w:rPr>
            </w:pPr>
            <w:r>
              <w:rPr>
                <w:rFonts w:hint="eastAsia" w:ascii="宋体" w:hAnsi="宋体" w:cs="宋体"/>
                <w:highlight w:val="none"/>
              </w:rPr>
              <w:t>流量线详情支持展示该流量线对应的控制策略；图形化显示服务器间流量关系，包括访问详情、流量趋势等；。</w:t>
            </w:r>
          </w:p>
          <w:p>
            <w:pPr>
              <w:snapToGrid w:val="0"/>
              <w:spacing w:line="360" w:lineRule="auto"/>
              <w:ind w:firstLine="480"/>
              <w:rPr>
                <w:rFonts w:ascii="宋体" w:hAnsi="宋体" w:cs="宋体"/>
                <w:highlight w:val="none"/>
              </w:rPr>
            </w:pPr>
            <w:r>
              <w:rPr>
                <w:rFonts w:hint="eastAsia" w:ascii="宋体" w:hAnsi="宋体" w:cs="宋体"/>
                <w:highlight w:val="none"/>
              </w:rPr>
              <w:t>③防火墙系统服务配套1套</w:t>
            </w:r>
          </w:p>
          <w:p>
            <w:pPr>
              <w:snapToGrid w:val="0"/>
              <w:spacing w:line="360" w:lineRule="auto"/>
              <w:ind w:firstLine="480"/>
              <w:rPr>
                <w:rFonts w:ascii="宋体" w:hAnsi="宋体" w:cs="宋体"/>
                <w:highlight w:val="none"/>
              </w:rPr>
            </w:pPr>
            <w:r>
              <w:rPr>
                <w:rFonts w:hint="eastAsia" w:ascii="宋体" w:hAnsi="宋体" w:cs="宋体"/>
                <w:highlight w:val="none"/>
              </w:rPr>
              <w:t>网络层吞吐量≥4G，应用层吞吐量≥1G，防病毒吞吐量≥400M，IPS吞吐量≥300M，全威胁吞吐量≥200M，并发连接数≥100万，HTTP新建连接数≥2万，IPSec最大隧道数≥1000，IPSec  VPN吞吐量≥100M。</w:t>
            </w:r>
          </w:p>
          <w:p>
            <w:pPr>
              <w:snapToGrid w:val="0"/>
              <w:spacing w:line="360" w:lineRule="auto"/>
              <w:ind w:firstLine="480"/>
              <w:rPr>
                <w:rFonts w:ascii="宋体" w:hAnsi="宋体" w:cs="宋体"/>
                <w:highlight w:val="none"/>
              </w:rPr>
            </w:pPr>
            <w:r>
              <w:rPr>
                <w:rFonts w:hint="eastAsia" w:ascii="宋体" w:hAnsi="宋体" w:cs="宋体"/>
                <w:highlight w:val="none"/>
              </w:rPr>
              <w:t>规格：1U，内存大小≥4G，硬盘容量≥64G minisata SSD，电源：单电源，接口≥6千兆电口+2千兆光口SFP。包含一年产品质保和软件升级；</w:t>
            </w:r>
          </w:p>
          <w:p>
            <w:pPr>
              <w:snapToGrid w:val="0"/>
              <w:spacing w:line="360" w:lineRule="auto"/>
              <w:ind w:firstLine="480"/>
              <w:rPr>
                <w:rFonts w:ascii="宋体" w:hAnsi="宋体" w:cs="宋体"/>
                <w:highlight w:val="none"/>
              </w:rPr>
            </w:pPr>
            <w:r>
              <w:rPr>
                <w:rFonts w:hint="eastAsia" w:ascii="宋体" w:hAnsi="宋体" w:cs="宋体"/>
                <w:highlight w:val="none"/>
              </w:rPr>
              <w:t>支持路由模式、透明模式、虚拟网线模式、旁路镜像模式等多种部署方式；支持链路健康检查功能，可基于多种协议对链路可用性进行探测；支持链路聚合功能，可以将多个物理链路组合成一个性能更高的逻辑链路接口；</w:t>
            </w:r>
          </w:p>
          <w:p>
            <w:pPr>
              <w:snapToGrid w:val="0"/>
              <w:spacing w:line="360" w:lineRule="auto"/>
              <w:ind w:firstLine="480"/>
              <w:rPr>
                <w:rFonts w:ascii="宋体" w:hAnsi="宋体" w:cs="宋体"/>
                <w:highlight w:val="none"/>
              </w:rPr>
            </w:pPr>
            <w:r>
              <w:rPr>
                <w:rFonts w:hint="eastAsia" w:ascii="宋体" w:hAnsi="宋体" w:cs="宋体"/>
                <w:highlight w:val="none"/>
              </w:rPr>
              <w:t>支持多链路出站负载，可基于源/目的IP、源/目的端口、协议、ISP、应用类型以及地域来进行选路的策略路由选路功能；</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支持IPv4/IPv6双栈工作模式，以适应IPv6发展趋势；支持IPv6访问控制策略设置，基于IPv6的IP地址、服务、域名、应用、时间等条件设置访问控制策略。 </w:t>
            </w:r>
          </w:p>
          <w:p>
            <w:pPr>
              <w:snapToGrid w:val="0"/>
              <w:spacing w:line="360" w:lineRule="auto"/>
              <w:ind w:firstLine="480"/>
              <w:rPr>
                <w:rFonts w:ascii="宋体" w:hAnsi="宋体" w:cs="宋体"/>
                <w:highlight w:val="none"/>
              </w:rPr>
            </w:pPr>
            <w:r>
              <w:rPr>
                <w:rFonts w:hint="eastAsia" w:ascii="宋体" w:hAnsi="宋体" w:cs="宋体"/>
                <w:highlight w:val="none"/>
              </w:rPr>
              <w:t>支持IPsec VPN和SSL VPN功能，为满足组网兼容性，IPSec VPN需支持IKEv1和IKEv2协议，可实现和第三方VPN的对接；</w:t>
            </w:r>
          </w:p>
          <w:p>
            <w:pPr>
              <w:snapToGrid w:val="0"/>
              <w:spacing w:line="360" w:lineRule="auto"/>
              <w:ind w:firstLine="480"/>
              <w:rPr>
                <w:rFonts w:ascii="宋体" w:hAnsi="宋体" w:cs="宋体"/>
                <w:highlight w:val="none"/>
              </w:rPr>
            </w:pPr>
            <w:r>
              <w:rPr>
                <w:rFonts w:hint="eastAsia" w:ascii="宋体" w:hAnsi="宋体" w:cs="宋体"/>
                <w:highlight w:val="none"/>
              </w:rPr>
              <w:t>IPSec VPN智能选路功能，根据线路质量实现线路自动切换；</w:t>
            </w:r>
          </w:p>
          <w:p>
            <w:pPr>
              <w:snapToGrid w:val="0"/>
              <w:spacing w:line="360" w:lineRule="auto"/>
              <w:ind w:firstLine="480"/>
              <w:rPr>
                <w:rFonts w:ascii="宋体" w:hAnsi="宋体" w:cs="宋体"/>
                <w:highlight w:val="none"/>
              </w:rPr>
            </w:pPr>
            <w:r>
              <w:rPr>
                <w:rFonts w:hint="eastAsia" w:ascii="宋体" w:hAnsi="宋体" w:cs="宋体"/>
                <w:highlight w:val="none"/>
              </w:rPr>
              <w:t>支持对不少于9880种应用的识别和控制，应用类型包括游戏、购物、图书百科、工作招聘、P2P下载、聊天工具、旅游出行、股票软件等类型应用进行检测与控制；</w:t>
            </w:r>
          </w:p>
          <w:p>
            <w:pPr>
              <w:snapToGrid w:val="0"/>
              <w:spacing w:line="360" w:lineRule="auto"/>
              <w:ind w:firstLine="480"/>
              <w:rPr>
                <w:rFonts w:ascii="宋体" w:hAnsi="宋体" w:cs="宋体"/>
                <w:highlight w:val="none"/>
              </w:rPr>
            </w:pPr>
            <w:r>
              <w:rPr>
                <w:rFonts w:hint="eastAsia" w:ascii="宋体" w:hAnsi="宋体" w:cs="宋体"/>
                <w:highlight w:val="none"/>
              </w:rPr>
              <w:t>支持基于IP对象的会话控制策略，实现并发连接数的合理限制；支持多维度安全策略设置，可基于时间、用户、应用、IP、域名等内容进行安全策略设置；</w:t>
            </w:r>
          </w:p>
          <w:p>
            <w:pPr>
              <w:snapToGrid w:val="0"/>
              <w:spacing w:line="360" w:lineRule="auto"/>
              <w:ind w:firstLine="480"/>
              <w:rPr>
                <w:rFonts w:ascii="宋体" w:hAnsi="宋体" w:cs="宋体"/>
                <w:highlight w:val="none"/>
              </w:rPr>
            </w:pPr>
            <w:r>
              <w:rPr>
                <w:rFonts w:hint="eastAsia" w:ascii="宋体" w:hAnsi="宋体" w:cs="宋体"/>
                <w:highlight w:val="none"/>
              </w:rPr>
              <w:t>支持DDoS防护策略，可对ICMP、UDP、DNS、SYN等协议进行DDOS防护；支持异常包攻击防御，异常包攻击类型至少包括Ping of Death、Teardrop、Smurf、Land、WinNuke等攻击类型；</w:t>
            </w:r>
          </w:p>
          <w:p>
            <w:pPr>
              <w:snapToGrid w:val="0"/>
              <w:spacing w:line="360" w:lineRule="auto"/>
              <w:ind w:firstLine="480"/>
              <w:rPr>
                <w:rFonts w:ascii="宋体" w:hAnsi="宋体" w:cs="宋体"/>
                <w:highlight w:val="none"/>
              </w:rPr>
            </w:pPr>
            <w:r>
              <w:rPr>
                <w:rFonts w:hint="eastAsia" w:ascii="宋体" w:hAnsi="宋体" w:cs="宋体"/>
                <w:highlight w:val="none"/>
              </w:rPr>
              <w:t>可扩展防病毒模块，支持对SMTP、HTTP、FTP、SMB、POP3、HTTPS、IMAP等协议进行病毒防御；</w:t>
            </w:r>
          </w:p>
          <w:p>
            <w:pPr>
              <w:snapToGrid w:val="0"/>
              <w:spacing w:line="360" w:lineRule="auto"/>
              <w:ind w:firstLine="480"/>
              <w:rPr>
                <w:rFonts w:ascii="宋体" w:hAnsi="宋体" w:cs="宋体"/>
                <w:highlight w:val="none"/>
              </w:rPr>
            </w:pPr>
            <w:r>
              <w:rPr>
                <w:rFonts w:hint="eastAsia" w:ascii="宋体" w:hAnsi="宋体" w:cs="宋体"/>
                <w:highlight w:val="none"/>
              </w:rPr>
              <w:t>可扩展对多重压缩文件的病毒检测能力，支持不小于12层压缩文件病毒检测与处置；</w:t>
            </w:r>
          </w:p>
          <w:p>
            <w:pPr>
              <w:snapToGrid w:val="0"/>
              <w:spacing w:line="360" w:lineRule="auto"/>
              <w:ind w:firstLine="480"/>
              <w:rPr>
                <w:rFonts w:ascii="宋体" w:hAnsi="宋体" w:cs="宋体"/>
                <w:highlight w:val="none"/>
              </w:rPr>
            </w:pPr>
            <w:r>
              <w:rPr>
                <w:rFonts w:hint="eastAsia" w:ascii="宋体" w:hAnsi="宋体" w:cs="宋体"/>
                <w:highlight w:val="none"/>
              </w:rPr>
              <w:t>支持入侵防御功能，预定义漏洞特征数量超过9000种；</w:t>
            </w:r>
          </w:p>
          <w:p>
            <w:pPr>
              <w:snapToGrid w:val="0"/>
              <w:spacing w:line="360" w:lineRule="auto"/>
              <w:ind w:firstLine="480"/>
              <w:rPr>
                <w:rFonts w:ascii="宋体" w:hAnsi="宋体" w:cs="宋体"/>
                <w:highlight w:val="none"/>
              </w:rPr>
            </w:pPr>
            <w:r>
              <w:rPr>
                <w:rFonts w:hint="eastAsia" w:ascii="宋体" w:hAnsi="宋体" w:cs="宋体"/>
                <w:highlight w:val="none"/>
              </w:rPr>
              <w:t xml:space="preserve">支持与态势感知平台联动，将本地防火墙产品产生的安全日志等数据上报至态势感知平台，并在态势感知平台进行威胁展示； </w:t>
            </w:r>
          </w:p>
          <w:p>
            <w:pPr>
              <w:snapToGrid w:val="0"/>
              <w:spacing w:line="360" w:lineRule="auto"/>
              <w:ind w:firstLine="480"/>
              <w:rPr>
                <w:rFonts w:ascii="宋体" w:hAnsi="宋体" w:cs="宋体"/>
                <w:highlight w:val="none"/>
              </w:rPr>
            </w:pPr>
            <w:r>
              <w:rPr>
                <w:rFonts w:hint="eastAsia" w:ascii="宋体" w:hAnsi="宋体" w:cs="宋体"/>
                <w:highlight w:val="none"/>
              </w:rPr>
              <w:t>支持基于IMAP、FTP、RDP、VNC、SSH、TELNET、ORACLE、MYSQL、MSSQL等应用协议进行深度检测与防护；</w:t>
            </w:r>
          </w:p>
          <w:p>
            <w:pPr>
              <w:snapToGrid w:val="0"/>
              <w:spacing w:line="360" w:lineRule="auto"/>
              <w:ind w:firstLine="480"/>
              <w:rPr>
                <w:rFonts w:ascii="宋体" w:hAnsi="宋体" w:cs="宋体"/>
                <w:highlight w:val="none"/>
              </w:rPr>
            </w:pPr>
            <w:r>
              <w:rPr>
                <w:rFonts w:hint="eastAsia" w:ascii="宋体" w:hAnsi="宋体" w:cs="宋体"/>
                <w:highlight w:val="none"/>
              </w:rPr>
              <w:t>可扩展对常见Web应用攻击防御，攻击类型至少支持跨站脚本（XSS）攻击、SQL注入、文件包含攻击、信息泄露攻击、WEBSHELL、网站扫描、网页木马等类型，产品预定义Web应用漏洞特征库超过4000种；</w:t>
            </w:r>
          </w:p>
          <w:p>
            <w:pPr>
              <w:snapToGrid w:val="0"/>
              <w:spacing w:line="360" w:lineRule="auto"/>
              <w:ind w:firstLine="480"/>
              <w:rPr>
                <w:rFonts w:ascii="宋体" w:hAnsi="宋体" w:cs="宋体"/>
                <w:highlight w:val="none"/>
              </w:rPr>
            </w:pPr>
            <w:r>
              <w:rPr>
                <w:rFonts w:hint="eastAsia" w:ascii="宋体" w:hAnsi="宋体" w:cs="宋体"/>
                <w:highlight w:val="none"/>
              </w:rPr>
              <w:t>支持用户账号全生命周期保护功能，包括用户账号入口检测、用户账号弱口令检测、用户账号暴力破解检测、失陷账号检测；</w:t>
            </w:r>
          </w:p>
          <w:p>
            <w:pPr>
              <w:snapToGrid w:val="0"/>
              <w:spacing w:line="360" w:lineRule="auto"/>
              <w:ind w:firstLine="480"/>
              <w:rPr>
                <w:rFonts w:ascii="宋体" w:hAnsi="宋体" w:cs="宋体"/>
                <w:highlight w:val="none"/>
              </w:rPr>
            </w:pPr>
            <w:r>
              <w:rPr>
                <w:rFonts w:hint="eastAsia" w:ascii="宋体" w:hAnsi="宋体" w:cs="宋体"/>
                <w:highlight w:val="none"/>
              </w:rPr>
              <w:t>可扩展主动诱捕功能，通过伪装业务诱捕内外网的攻击行为，并联合云蜜罐获取黑客信息，并自动封锁高危IP；</w:t>
            </w:r>
          </w:p>
          <w:p>
            <w:pPr>
              <w:snapToGrid w:val="0"/>
              <w:spacing w:line="360" w:lineRule="auto"/>
              <w:ind w:firstLine="480"/>
              <w:rPr>
                <w:rFonts w:ascii="宋体" w:hAnsi="宋体" w:cs="宋体"/>
                <w:highlight w:val="none"/>
              </w:rPr>
            </w:pPr>
            <w:r>
              <w:rPr>
                <w:rFonts w:hint="eastAsia" w:ascii="宋体" w:hAnsi="宋体" w:cs="宋体"/>
                <w:highlight w:val="none"/>
              </w:rPr>
              <w:t>④U</w:t>
            </w:r>
            <w:r>
              <w:rPr>
                <w:rFonts w:ascii="宋体" w:hAnsi="宋体" w:cs="宋体"/>
                <w:highlight w:val="none"/>
              </w:rPr>
              <w:t>PS</w:t>
            </w:r>
            <w:r>
              <w:rPr>
                <w:rFonts w:hint="eastAsia" w:ascii="宋体" w:hAnsi="宋体" w:cs="宋体"/>
                <w:highlight w:val="none"/>
              </w:rPr>
              <w:t>系统备电服务配套1套</w:t>
            </w:r>
          </w:p>
          <w:p>
            <w:pPr>
              <w:snapToGrid w:val="0"/>
              <w:spacing w:line="360" w:lineRule="auto"/>
              <w:ind w:firstLine="480"/>
              <w:rPr>
                <w:rFonts w:ascii="宋体" w:hAnsi="宋体" w:cs="宋体"/>
                <w:highlight w:val="none"/>
              </w:rPr>
            </w:pPr>
            <w:r>
              <w:rPr>
                <w:rFonts w:hint="eastAsia" w:ascii="宋体" w:hAnsi="宋体" w:cs="宋体"/>
                <w:highlight w:val="none"/>
              </w:rPr>
              <w:t>额定输入电压 单相：220/230/240 V 三相：380/400/415 V；输入电压范围 ：305-485V：不需要降额使用；138-305V：线性降额使用。输入频率 40-70(HZ)；输入功率因数 0.99；输入电流谐波分量(THDi)小于%5；频率跟踪速率：≥1Hz／s。</w:t>
            </w:r>
          </w:p>
          <w:p>
            <w:pPr>
              <w:snapToGrid w:val="0"/>
              <w:spacing w:line="360" w:lineRule="auto"/>
              <w:ind w:firstLine="480"/>
              <w:rPr>
                <w:rFonts w:ascii="宋体" w:hAnsi="宋体" w:cs="宋体"/>
                <w:highlight w:val="none"/>
              </w:rPr>
            </w:pPr>
            <w:r>
              <w:rPr>
                <w:rFonts w:hint="eastAsia" w:ascii="宋体" w:hAnsi="宋体" w:cs="宋体"/>
                <w:highlight w:val="none"/>
              </w:rPr>
              <w:t>输出电压：支持单项220/230/240 三项380/400/415；同步状态，跟踪旁路输入(正常模式)；50/60Hz±0.1%(电池模式)；输出 PF0.9；输出波形失真度：线性≤2%  非线性≤4%；允许最大负载波峰因数：≥3:1；</w:t>
            </w:r>
          </w:p>
          <w:p>
            <w:pPr>
              <w:snapToGrid w:val="0"/>
              <w:spacing w:line="360" w:lineRule="auto"/>
              <w:ind w:firstLine="480"/>
              <w:rPr>
                <w:rFonts w:ascii="宋体" w:hAnsi="宋体" w:cs="宋体"/>
                <w:highlight w:val="none"/>
              </w:rPr>
            </w:pPr>
            <w:r>
              <w:rPr>
                <w:rFonts w:hint="eastAsia" w:ascii="宋体" w:hAnsi="宋体" w:cs="宋体"/>
                <w:highlight w:val="none"/>
              </w:rPr>
              <w:t>6kV 防浪涌设计，5kA 防雷设计；系统效率：在线模式下，效率达 95%；市电电池切换时间：0；过载能力： 105%~125%负载时 5min 后转旁路， 在 125%~150%负载时 1min 后转旁路， 在 150%负载时 0.1s 后转旁路。</w:t>
            </w:r>
          </w:p>
          <w:p>
            <w:pPr>
              <w:snapToGrid w:val="0"/>
              <w:spacing w:line="360" w:lineRule="auto"/>
              <w:ind w:firstLine="480"/>
              <w:rPr>
                <w:rFonts w:ascii="宋体" w:hAnsi="宋体" w:cs="宋体"/>
                <w:highlight w:val="none"/>
              </w:rPr>
            </w:pPr>
            <w:r>
              <w:rPr>
                <w:rFonts w:hint="eastAsia" w:ascii="宋体" w:hAnsi="宋体" w:cs="宋体"/>
                <w:highlight w:val="none"/>
              </w:rPr>
              <w:t>电池电压：±（192-240）V， 32到40节电池可调。电池智能管理功能，及电池充、放电温度补偿；支持四台并机；机型同时兼容塔式机架式的安装方式；监控通讯支持 SNMP USB Modbus 干接点板；支持分级下电功能；相对湿度：≤95％（40℃，无凝露）;32颗80AH蓄电池及电池箱。</w:t>
            </w:r>
          </w:p>
          <w:p>
            <w:pPr>
              <w:snapToGrid w:val="0"/>
              <w:spacing w:line="360" w:lineRule="auto"/>
              <w:ind w:firstLine="480"/>
              <w:rPr>
                <w:rFonts w:ascii="宋体" w:hAnsi="宋体" w:cs="宋体"/>
                <w:highlight w:val="none"/>
              </w:rPr>
            </w:pPr>
            <w:r>
              <w:rPr>
                <w:rFonts w:ascii="宋体" w:hAnsi="宋体" w:cs="宋体"/>
                <w:highlight w:val="none"/>
              </w:rPr>
              <w:t>5</w:t>
            </w:r>
            <w:r>
              <w:rPr>
                <w:rFonts w:hint="eastAsia" w:ascii="宋体" w:hAnsi="宋体" w:cs="宋体"/>
                <w:highlight w:val="none"/>
              </w:rPr>
              <w:t>、</w:t>
            </w:r>
            <w:r>
              <w:rPr>
                <w:rFonts w:hint="eastAsia" w:ascii="宋体" w:hAnsi="宋体" w:cs="宋体"/>
                <w:kern w:val="0"/>
                <w:highlight w:val="none"/>
                <w:lang w:bidi="ar"/>
              </w:rPr>
              <w:t>综合传输系统服务</w:t>
            </w:r>
            <w:r>
              <w:rPr>
                <w:rFonts w:hint="eastAsia" w:ascii="宋体" w:hAnsi="宋体" w:cs="宋体"/>
                <w:highlight w:val="none"/>
              </w:rPr>
              <w:t>配套</w:t>
            </w:r>
          </w:p>
          <w:p>
            <w:pPr>
              <w:snapToGrid w:val="0"/>
              <w:spacing w:line="360" w:lineRule="auto"/>
              <w:ind w:firstLine="480"/>
              <w:rPr>
                <w:rFonts w:ascii="宋体" w:hAnsi="宋体" w:cs="宋体"/>
                <w:highlight w:val="none"/>
              </w:rPr>
            </w:pPr>
            <w:r>
              <w:rPr>
                <w:rFonts w:hint="eastAsia" w:ascii="宋体" w:hAnsi="宋体" w:cs="宋体"/>
                <w:highlight w:val="none"/>
              </w:rPr>
              <w:t>含音频、视频、网络布线材料及信息接头模块，接入交换机2台，服务器机柜1台，机架2组，辅助材料1批等，满足指挥大厅、设备间系统传输需求。</w:t>
            </w:r>
          </w:p>
          <w:p>
            <w:pPr>
              <w:snapToGrid w:val="0"/>
              <w:spacing w:line="360" w:lineRule="auto"/>
              <w:ind w:firstLine="480"/>
              <w:rPr>
                <w:rFonts w:ascii="宋体" w:hAnsi="宋体" w:cs="宋体"/>
                <w:kern w:val="0"/>
                <w:highlight w:val="none"/>
              </w:rPr>
            </w:pPr>
            <w:r>
              <w:rPr>
                <w:rFonts w:ascii="宋体" w:hAnsi="宋体" w:cs="宋体"/>
                <w:highlight w:val="none"/>
              </w:rPr>
              <w:t>6</w:t>
            </w:r>
            <w:r>
              <w:rPr>
                <w:rFonts w:hint="eastAsia" w:ascii="宋体" w:hAnsi="宋体" w:cs="宋体"/>
                <w:highlight w:val="none"/>
              </w:rPr>
              <w:t>、</w:t>
            </w:r>
            <w:r>
              <w:rPr>
                <w:rFonts w:hint="eastAsia" w:ascii="宋体" w:hAnsi="宋体" w:cs="宋体"/>
                <w:kern w:val="0"/>
                <w:highlight w:val="none"/>
              </w:rPr>
              <w:t>应急指挥中心服务</w:t>
            </w:r>
            <w:r>
              <w:rPr>
                <w:rFonts w:hint="eastAsia" w:ascii="宋体" w:hAnsi="宋体" w:cs="宋体"/>
                <w:highlight w:val="none"/>
              </w:rPr>
              <w:t>配套</w:t>
            </w:r>
          </w:p>
          <w:p>
            <w:pPr>
              <w:snapToGrid w:val="0"/>
              <w:spacing w:line="360" w:lineRule="auto"/>
              <w:ind w:firstLine="480"/>
              <w:rPr>
                <w:rFonts w:ascii="宋体" w:hAnsi="宋体" w:cs="宋体"/>
                <w:highlight w:val="none"/>
              </w:rPr>
            </w:pPr>
            <w:r>
              <w:rPr>
                <w:rFonts w:hint="eastAsia" w:ascii="宋体" w:hAnsi="宋体" w:cs="宋体"/>
                <w:highlight w:val="none"/>
              </w:rPr>
              <w:t>彩色激光自动双面打印一体机1台（打印/复印/扫描，有线/无线/USB），一体打印机1台（打印速度30页/分钟，双面自动输稿器，黑白扫描30页/分钟，彩色扫描25页/分钟，支持U盘打印，1G内存，标准供纸槽1000张），普通彩色复印打印机5台，指挥中心操作终端3台（I5 处理器，16G 内存，1T 硬盘，独立显卡2G 显存，含24寸显示器，），办公操作终端7台（六核I5-10400/8G/1T/GT730-2G独显/无光驱/WIN10 /17L/23.8寸显示器），移动操作终端1台（14寸/四核I5-1135G7/8G/512G固态/集成显卡/无光驱/1920*1080/WIN10/灰色），传真打印复印机1台（传真/打印/复印/扫描），录音固定电话2台（长时间录音/来电留言录音/详细通话记录/来电免打忧），满足应急指挥中心会议会商需求。</w:t>
            </w:r>
          </w:p>
          <w:p>
            <w:pPr>
              <w:snapToGrid w:val="0"/>
              <w:spacing w:line="360" w:lineRule="auto"/>
              <w:ind w:firstLine="480"/>
              <w:rPr>
                <w:rFonts w:ascii="宋体" w:hAnsi="宋体" w:cs="宋体"/>
                <w:highlight w:val="none"/>
              </w:rPr>
            </w:pPr>
            <w:r>
              <w:rPr>
                <w:rFonts w:hint="eastAsia" w:ascii="宋体" w:hAnsi="宋体" w:cs="宋体"/>
                <w:highlight w:val="none"/>
              </w:rPr>
              <w:t>7、乡镇指挥中心系统一体智慧服务配套1</w:t>
            </w:r>
            <w:r>
              <w:rPr>
                <w:rFonts w:ascii="宋体" w:hAnsi="宋体" w:cs="宋体"/>
                <w:highlight w:val="none"/>
              </w:rPr>
              <w:t>5</w:t>
            </w:r>
            <w:r>
              <w:rPr>
                <w:rFonts w:hint="eastAsia" w:ascii="宋体" w:hAnsi="宋体" w:cs="宋体"/>
                <w:highlight w:val="none"/>
              </w:rPr>
              <w:t>套</w:t>
            </w:r>
          </w:p>
          <w:p>
            <w:pPr>
              <w:snapToGrid w:val="0"/>
              <w:spacing w:line="360" w:lineRule="auto"/>
              <w:ind w:firstLine="480"/>
              <w:rPr>
                <w:rFonts w:ascii="宋体" w:hAnsi="宋体" w:cs="宋体"/>
                <w:highlight w:val="none"/>
              </w:rPr>
            </w:pPr>
            <w:r>
              <w:rPr>
                <w:rFonts w:hint="eastAsia" w:ascii="宋体" w:hAnsi="宋体" w:cs="宋体"/>
                <w:highlight w:val="none"/>
              </w:rPr>
              <w:t>液晶屏显示尺寸≥65英寸，采用A+规屏；显示比例16:9；分辨率≥3840*2160，可视角度≥178°。</w:t>
            </w:r>
          </w:p>
          <w:p>
            <w:pPr>
              <w:snapToGrid w:val="0"/>
              <w:spacing w:line="360" w:lineRule="auto"/>
              <w:ind w:firstLine="480"/>
              <w:rPr>
                <w:rFonts w:ascii="宋体" w:hAnsi="宋体" w:cs="宋体"/>
                <w:highlight w:val="none"/>
              </w:rPr>
            </w:pPr>
            <w:r>
              <w:rPr>
                <w:rFonts w:hint="eastAsia" w:ascii="宋体" w:hAnsi="宋体" w:cs="宋体"/>
                <w:highlight w:val="none"/>
              </w:rPr>
              <w:t>▲集成一体化触摸显示屏、麦克风、扬声器、摄像头等部件</w:t>
            </w:r>
          </w:p>
          <w:p>
            <w:pPr>
              <w:snapToGrid w:val="0"/>
              <w:spacing w:line="360" w:lineRule="auto"/>
              <w:ind w:firstLine="480"/>
              <w:rPr>
                <w:rFonts w:ascii="宋体" w:hAnsi="宋体" w:cs="宋体"/>
                <w:highlight w:val="none"/>
              </w:rPr>
            </w:pPr>
            <w:r>
              <w:rPr>
                <w:rFonts w:hint="eastAsia" w:ascii="宋体" w:hAnsi="宋体" w:cs="宋体"/>
                <w:highlight w:val="none"/>
              </w:rPr>
              <w:t xml:space="preserve">★屏体采用物理防蓝光设计，无需通过按键操作，默认达到防蓝光效果 </w:t>
            </w:r>
          </w:p>
          <w:p>
            <w:pPr>
              <w:snapToGrid w:val="0"/>
              <w:spacing w:line="360" w:lineRule="auto"/>
              <w:ind w:firstLine="480"/>
              <w:rPr>
                <w:rFonts w:ascii="宋体" w:hAnsi="宋体" w:cs="宋体"/>
                <w:highlight w:val="none"/>
              </w:rPr>
            </w:pPr>
            <w:r>
              <w:rPr>
                <w:rFonts w:hint="eastAsia" w:ascii="宋体" w:hAnsi="宋体" w:cs="宋体"/>
                <w:highlight w:val="none"/>
              </w:rPr>
              <w:t>▲为充分满足用户实际使用需求，设备前置面板需具有以下无转接接口：≥1*Type-C、≥2*USB Type-A。侧置需具有以下无转接接口：≥3*HDMI、≥2*MIC、≥1*RJ45、≥2*USB。</w:t>
            </w:r>
          </w:p>
          <w:p>
            <w:pPr>
              <w:snapToGrid w:val="0"/>
              <w:spacing w:line="360" w:lineRule="auto"/>
              <w:ind w:firstLine="480"/>
              <w:rPr>
                <w:rFonts w:ascii="宋体" w:hAnsi="宋体" w:cs="宋体"/>
                <w:highlight w:val="none"/>
              </w:rPr>
            </w:pPr>
            <w:r>
              <w:rPr>
                <w:rFonts w:hint="eastAsia" w:ascii="宋体" w:hAnsi="宋体" w:cs="宋体"/>
                <w:highlight w:val="none"/>
              </w:rPr>
              <w:t>★须采用国产化的主要元器件，至少包括CPU处理单元、可编程逻辑芯片、时钟芯片等。</w:t>
            </w:r>
          </w:p>
          <w:p>
            <w:pPr>
              <w:snapToGrid w:val="0"/>
              <w:spacing w:line="360" w:lineRule="auto"/>
              <w:ind w:firstLine="480"/>
              <w:rPr>
                <w:rFonts w:ascii="宋体" w:hAnsi="宋体" w:cs="宋体"/>
                <w:highlight w:val="none"/>
              </w:rPr>
            </w:pPr>
            <w:r>
              <w:rPr>
                <w:rFonts w:hint="eastAsia" w:ascii="宋体" w:hAnsi="宋体" w:cs="宋体"/>
                <w:highlight w:val="none"/>
              </w:rPr>
              <w:t>内置安卓系统ROM≥32GB，RAM≥4GB，系统版本≥Android9.0，支持在线升级。</w:t>
            </w:r>
          </w:p>
          <w:p>
            <w:pPr>
              <w:snapToGrid w:val="0"/>
              <w:spacing w:line="360" w:lineRule="auto"/>
              <w:ind w:firstLine="480"/>
              <w:rPr>
                <w:rFonts w:ascii="宋体" w:hAnsi="宋体" w:cs="宋体"/>
                <w:highlight w:val="none"/>
              </w:rPr>
            </w:pPr>
            <w:r>
              <w:rPr>
                <w:rFonts w:hint="eastAsia" w:ascii="宋体" w:hAnsi="宋体" w:cs="宋体"/>
                <w:highlight w:val="none"/>
              </w:rPr>
              <w:t>★嵌入式Android操作系统下，内置互动白板须支持2种以上书写笔头，书写延时≤25ms，支持8种以上书写颜色。</w:t>
            </w:r>
          </w:p>
          <w:p>
            <w:pPr>
              <w:snapToGrid w:val="0"/>
              <w:spacing w:line="360" w:lineRule="auto"/>
              <w:ind w:firstLine="480"/>
              <w:rPr>
                <w:rFonts w:ascii="宋体" w:hAnsi="宋体" w:cs="宋体"/>
                <w:highlight w:val="none"/>
              </w:rPr>
            </w:pPr>
            <w:r>
              <w:rPr>
                <w:rFonts w:hint="eastAsia" w:ascii="宋体" w:hAnsi="宋体" w:cs="宋体"/>
                <w:highlight w:val="none"/>
              </w:rPr>
              <w:t>配置OPS模块，配置不低于I5-8500,8G DDR4,128G SSD；配置落地支架。</w:t>
            </w:r>
          </w:p>
          <w:p>
            <w:pPr>
              <w:snapToGrid w:val="0"/>
              <w:spacing w:line="360" w:lineRule="auto"/>
              <w:ind w:firstLine="480"/>
              <w:rPr>
                <w:rFonts w:ascii="宋体" w:hAnsi="宋体" w:cs="宋体"/>
                <w:highlight w:val="none"/>
              </w:rPr>
            </w:pPr>
            <w:r>
              <w:rPr>
                <w:rFonts w:hint="eastAsia" w:ascii="宋体" w:hAnsi="宋体" w:cs="宋体"/>
                <w:highlight w:val="none"/>
              </w:rPr>
              <w:t>★整机内置≥6个非独立外扩展的麦克风，可用于音频进行采集，拾音角度≥180°，拾音距离≥10米。</w:t>
            </w:r>
          </w:p>
          <w:p>
            <w:pPr>
              <w:snapToGrid w:val="0"/>
              <w:spacing w:line="360" w:lineRule="auto"/>
              <w:ind w:firstLine="480"/>
              <w:rPr>
                <w:rFonts w:ascii="宋体" w:hAnsi="宋体" w:cs="宋体"/>
                <w:highlight w:val="none"/>
              </w:rPr>
            </w:pPr>
            <w:r>
              <w:rPr>
                <w:rFonts w:hint="eastAsia" w:ascii="宋体" w:hAnsi="宋体" w:cs="宋体"/>
                <w:highlight w:val="none"/>
              </w:rPr>
              <w:t>★整机须内置非独立外扩展的摄像头，镜头水平视角≥80°、垂直视角≥50°，可拍摄不低于1080P的视频画面。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2" w:type="dxa"/>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2</w:t>
            </w:r>
          </w:p>
        </w:tc>
        <w:tc>
          <w:tcPr>
            <w:tcW w:w="1457" w:type="dxa"/>
            <w:vAlign w:val="center"/>
          </w:tcPr>
          <w:p>
            <w:pPr>
              <w:widowControl/>
              <w:snapToGrid w:val="0"/>
              <w:spacing w:line="400" w:lineRule="exact"/>
              <w:ind w:firstLine="0" w:firstLineChars="0"/>
              <w:jc w:val="center"/>
              <w:rPr>
                <w:rFonts w:ascii="宋体" w:hAnsi="宋体" w:cs="宋体"/>
                <w:kern w:val="0"/>
                <w:highlight w:val="none"/>
                <w:lang w:bidi="ar"/>
              </w:rPr>
            </w:pPr>
            <w:r>
              <w:rPr>
                <w:rFonts w:hint="eastAsia" w:ascii="宋体" w:hAnsi="宋体" w:cs="宋体"/>
                <w:highlight w:val="none"/>
              </w:rPr>
              <w:t>应急指挥调度服务</w:t>
            </w:r>
          </w:p>
        </w:tc>
        <w:tc>
          <w:tcPr>
            <w:tcW w:w="600" w:type="dxa"/>
            <w:tcBorders>
              <w:righ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1</w:t>
            </w:r>
          </w:p>
        </w:tc>
        <w:tc>
          <w:tcPr>
            <w:tcW w:w="514" w:type="dxa"/>
            <w:tcBorders>
              <w:lef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项</w:t>
            </w:r>
          </w:p>
        </w:tc>
        <w:tc>
          <w:tcPr>
            <w:tcW w:w="6586" w:type="dxa"/>
            <w:vAlign w:val="center"/>
          </w:tcPr>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一、服务总体需求</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highlight w:val="none"/>
              </w:rPr>
              <w:t>1、</w:t>
            </w:r>
            <w:r>
              <w:rPr>
                <w:rFonts w:hint="eastAsia" w:ascii="宋体" w:hAnsi="宋体" w:cs="宋体"/>
                <w:kern w:val="0"/>
                <w:highlight w:val="none"/>
                <w:lang w:bidi="ar"/>
              </w:rPr>
              <w:t>云视频会议服务</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云视频会议服务，</w:t>
            </w:r>
            <w:r>
              <w:rPr>
                <w:rFonts w:ascii="宋体" w:hAnsi="宋体" w:cs="宋体"/>
                <w:kern w:val="0"/>
                <w:highlight w:val="none"/>
                <w:lang w:bidi="ar"/>
              </w:rPr>
              <w:t>在</w:t>
            </w:r>
            <w:r>
              <w:rPr>
                <w:rFonts w:hint="eastAsia" w:ascii="宋体" w:hAnsi="宋体" w:cs="宋体"/>
                <w:kern w:val="0"/>
                <w:highlight w:val="none"/>
                <w:lang w:bidi="ar"/>
              </w:rPr>
              <w:t>自治区防汛视频会商系统</w:t>
            </w:r>
            <w:r>
              <w:rPr>
                <w:rFonts w:ascii="宋体" w:hAnsi="宋体" w:cs="宋体"/>
                <w:kern w:val="0"/>
                <w:highlight w:val="none"/>
                <w:lang w:bidi="ar"/>
              </w:rPr>
              <w:t>原有三级视频会商基础上</w:t>
            </w:r>
            <w:r>
              <w:rPr>
                <w:rFonts w:hint="eastAsia" w:ascii="宋体" w:hAnsi="宋体" w:cs="宋体"/>
                <w:kern w:val="0"/>
                <w:highlight w:val="none"/>
                <w:lang w:bidi="ar"/>
              </w:rPr>
              <w:t>，</w:t>
            </w:r>
            <w:r>
              <w:rPr>
                <w:rFonts w:ascii="宋体" w:hAnsi="宋体" w:cs="宋体"/>
                <w:kern w:val="0"/>
                <w:highlight w:val="none"/>
                <w:lang w:bidi="ar"/>
              </w:rPr>
              <w:t>整合为云服务平台</w:t>
            </w:r>
            <w:r>
              <w:rPr>
                <w:rFonts w:hint="eastAsia" w:ascii="宋体" w:hAnsi="宋体" w:cs="宋体"/>
                <w:kern w:val="0"/>
                <w:highlight w:val="none"/>
                <w:lang w:bidi="ar"/>
              </w:rPr>
              <w:t>，</w:t>
            </w:r>
            <w:r>
              <w:rPr>
                <w:rFonts w:ascii="宋体" w:hAnsi="宋体" w:cs="宋体"/>
                <w:kern w:val="0"/>
                <w:highlight w:val="none"/>
                <w:lang w:bidi="ar"/>
              </w:rPr>
              <w:t>提升整体接入服务能力</w:t>
            </w:r>
            <w:r>
              <w:rPr>
                <w:rFonts w:hint="eastAsia" w:ascii="宋体" w:hAnsi="宋体" w:cs="宋体"/>
                <w:kern w:val="0"/>
                <w:highlight w:val="none"/>
                <w:lang w:bidi="ar"/>
              </w:rPr>
              <w:t>，可以让原有能力提升到五级联动指挥体系，在广西应急管理一张图提供可视化调度能力，根据需要统一对应急现场和各种后台数据进行统一接入和控制呈现，让各级指挥中心，应急处置部门，场外专家和一线处置人员可以掌握详尽的视频和数据资料。</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五级联动指挥体系支持区、市、县、乡、村多级组网，可通过区厅指挥中心直接调度起包括区、市、县甚至更多层级的不同部门的应急会场和人员参加会商会议，区厅指挥中心可以直接控制下级会场，直接将命令传到下级会场和现场应急人员。</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2、应急一张图县级融合通信适配服务</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应急通信服务，依托应急管理一张图系统，建设本级融合通信系统，重点实现电话语音融合、视频监控融合，对接短信网关、应急广播，接入本级应急装备等视频画面。</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含语音、音频网关、配置电话语音网关、音频网关、短信网关，重点实现电话语音融合、视频监控融合，对接短信网关、广电广播，接入本级单兵图传、4G/5G布控球、4G执法记录仪、无人机等视频画面。提供标准SDK接口，并实现与广西应急管理一张图适配，实现应急管理一张图上电话调度、视频轨迹查看、信息发布等图上指挥调度功能。</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3、视频汇聚服务</w:t>
            </w:r>
          </w:p>
          <w:p>
            <w:pPr>
              <w:widowControl/>
              <w:snapToGrid w:val="0"/>
              <w:spacing w:line="360" w:lineRule="auto"/>
              <w:ind w:right="43" w:rightChars="18" w:firstLine="480"/>
              <w:jc w:val="left"/>
              <w:rPr>
                <w:rFonts w:ascii="宋体" w:hAnsi="宋体" w:cs="宋体"/>
                <w:kern w:val="0"/>
                <w:highlight w:val="none"/>
                <w:lang w:bidi="ar"/>
              </w:rPr>
            </w:pPr>
            <w:r>
              <w:rPr>
                <w:rFonts w:hint="eastAsia" w:ascii="宋体" w:hAnsi="宋体" w:cs="宋体"/>
                <w:kern w:val="0"/>
                <w:highlight w:val="none"/>
                <w:lang w:bidi="ar"/>
              </w:rPr>
              <w:t>视频汇聚服务，建设县级视频汇聚系统，汇聚接入安全生产重点监管企业的视频监控资源，同时可扩展接入危化、工贸、烟花爆竹等重点监管视频监控，汇聚接入执法记录仪视频监控、现场指挥部4G布控球及安委会成员单位（政务外网）监控视频等资源，与市应急局、应急厅统一技术标准，级联互通，实现对视频的可视化统一管理，实时视频调阅（电脑PC端和手机端均可）、录像查看、视频运维、电视墙管理等功能。</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二、服务要求配套</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1、</w:t>
            </w:r>
            <w:r>
              <w:rPr>
                <w:rFonts w:hint="eastAsia" w:ascii="宋体" w:hAnsi="宋体" w:cs="宋体"/>
                <w:kern w:val="0"/>
                <w:highlight w:val="none"/>
                <w:lang w:bidi="ar"/>
              </w:rPr>
              <w:t>云视频会议服务配套</w:t>
            </w:r>
            <w:r>
              <w:rPr>
                <w:rFonts w:ascii="宋体" w:hAnsi="宋体" w:cs="宋体"/>
                <w:kern w:val="0"/>
                <w:highlight w:val="none"/>
                <w:lang w:bidi="ar"/>
              </w:rPr>
              <w:t>20</w:t>
            </w:r>
            <w:r>
              <w:rPr>
                <w:rFonts w:hint="eastAsia" w:ascii="宋体" w:hAnsi="宋体" w:cs="宋体"/>
                <w:kern w:val="0"/>
                <w:highlight w:val="none"/>
                <w:lang w:bidi="ar"/>
              </w:rPr>
              <w:t>套</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支持ITU-T H.323、IETF SIP多媒体框架协议，支持硬件终端、智慧屏、安卓软终端、PC软终端接入。</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支持H.225、H.245、Q.931、H.235、SDP、TLS/SRTP、H.239、BFCP</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H.460、ICE、STUN、TURN、SNP、SIP TRUNK</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TCP/IP、HTTP、HTTPS、SSH、LDAP/H350、TR-069、SNMP、RTP、5.RTCP、DDNS视频编解码协议</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支持1080P30帧超清多方会议和内容共享</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支持30+会议画面布局，会前、会中随时切换不同画面布局，语音跟踪，让发言人始终处于主画面</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▲与自治区应急厅现有华为视频会议系统互联互通，可实现区、市、县、乡、村五级视频会商。</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▲无缝接入广西应急管理一张图系统，实现快速创建视频会议、图上指挥、一键调度等功能应用。</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2、视频汇聚系统服务配套</w:t>
            </w:r>
          </w:p>
          <w:p>
            <w:pPr>
              <w:widowControl/>
              <w:snapToGrid w:val="0"/>
              <w:spacing w:line="360" w:lineRule="auto"/>
              <w:ind w:firstLine="480"/>
              <w:jc w:val="left"/>
              <w:rPr>
                <w:rFonts w:hint="eastAsia" w:ascii="宋体" w:hAnsi="宋体" w:cs="宋体"/>
                <w:highlight w:val="none"/>
              </w:rPr>
            </w:pPr>
            <w:r>
              <w:rPr>
                <w:rFonts w:hint="eastAsia" w:ascii="宋体" w:hAnsi="宋体" w:cs="宋体"/>
                <w:highlight w:val="none"/>
              </w:rPr>
              <w:t>①视频汇聚服务配套1套</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支持视频汇聚路数≥100000路，并可对视频进行可视化统一管理；级联层数≥5层；配置≥500路视频管理。</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平台支持基于视频通用标准协议（GB/T28181-2011,GB/T28181-2016）与外域平台互联互通，实现上级平台对下级平台视频资源点位的操作控制。</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支持上下级域注册管理能力，实现平台数据级联。</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★支持设备录像回传至中心存储，可以支持计划回传和手动回传两种模式，支持监控点的批量迁移。</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支持BS客户端、CS客户端、移动客户端（Android、iOS）视频预览，支持多浏览器实时预览。</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预览画面支持监控点信息、语音对讲、开关声音、云台与镜头控制、抓图、多图抓拍等。</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支持对用户、角色、组织、区域、人员、车辆、卡片、设备等基础资源进行管理调配。</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★支持AD域，支持以中心管理服务为核心的网络拓扑结构，支持对系统中的分组、服务器、组件等统计概览、查看。</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支持录像回放能力，支持多画面同步回放和异步回放切换、超高倍速回放、分段回放、录像下载、录像剪辑、录像标签、录像锁定、录像抓图。</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支持视频预览与图片实时监控模式切换能力，实现图片监控模式。</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支持监控点通道的图像质量诊断结果统计和查看。</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支持图像模糊、图像过亮、图像偏色、图像过暗、图像过亮、视频抖动、视频丢帧、场景变换、视频遮挡、对比度、条纹干扰、噪声干扰、信号丢失、黑白图像指标诊断。</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多色彩（红、橙、黄）展示运行告警状态，支持告警统计、概览、处理，支持告警记录查看、查询，支持告警单条、批量处理；支持系统最近≥7天每日告警数统计，支持评分量化系统监控指数，显示系统运行状态。</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支持监控点图像质量统计报表，展现各类诊断故障数量。</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支持监控点通道的在线状态、录制状态、录像完整性、录像保存天数指标检测。</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★支持知识库搜索查询、导入、导出，支持经验分享。</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★支持对系统内所有组件信息进行监控，组件信息包含：组件名称、未处理告警数、所属服务器、最近操作时间、授权状态、维保期限、使用期限等。</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▲视频汇聚平台须与市级视频汇聚平台、区厅级视频汇聚平台互联互通。</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CPU：≥2颗处理器，核数≥10核，主频≥2.4GHz。内存：≥64G DDR4，≥16根内存插槽，支持扩展至≥2TB内存。硬盘：≥4块600G 10K 2.5寸 SAS硬盘。阵列卡：配置SAS_HBA卡，支持RAID 0/1/10。PCIE扩展：可支持≥6个PCIE扩展插槽。网口：≥2个千兆电口，≥2个万兆光口。其他接口：≥1个RJ45管理接口，≥2个USB 3.0接口，≥2个USB2.0接口，≥1个VGA接口。电源：配置550W（1+1）高效铂金CRPS冗余电源。</w:t>
            </w:r>
          </w:p>
          <w:p>
            <w:pPr>
              <w:widowControl/>
              <w:snapToGrid w:val="0"/>
              <w:spacing w:line="360" w:lineRule="auto"/>
              <w:ind w:firstLine="480"/>
              <w:jc w:val="left"/>
              <w:rPr>
                <w:rFonts w:hint="eastAsia" w:ascii="宋体" w:hAnsi="宋体" w:cs="宋体"/>
                <w:highlight w:val="none"/>
              </w:rPr>
            </w:pPr>
            <w:r>
              <w:rPr>
                <w:rFonts w:hint="eastAsia" w:ascii="宋体" w:hAnsi="宋体" w:cs="宋体"/>
                <w:highlight w:val="none"/>
              </w:rPr>
              <w:t>②网络存储服务配套1套</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采用64位多核处理器，≥4GB高速缓存，可扩展到≥32GB，实现大数据量检索、分析及存储，含≥16块6T企业级SATA硬盘。</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支持≥16个硬盘插槽，支持双系统，支持FCSAN、IPSAN、NAS存储功能。</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允许每组RAID中任意≥12块硬盘发生故障，业务不中断，支持块级重构，全盘参与重构速度不小于4TB/10min，高利用率模式下磁盘利用率为≥98%，设备支持在最大画面分屏显示模式下播放录像时，可拖动改变各通道视频播放的时间位置。</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支持RAID0、1、3、5、6、10、50、60、JBOD模式，支持全局、局部等多种热备选择，支持坏盘自动重构。</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支持接入并存储≥1880Mbps视频图像，同时转发≥1880Mbps的视频图像，同时回放≥512Mbps的视频图像。</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并发≥15路文件直接上传存储，单路上传与下载的速度可设，当开启智能录像时，设备可根据前端接入路数、存储周期、码率等参数，自动选择N+M冗余级别较高的数据保护方式，支持将名单库分为≥12个库分别管理，每个库可设置不同报警阈值或关联摄像机。</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支持通过IE浏览器对一台、多台设备或扩展柜中的磁盘进行定位，使对应的磁盘指示灯闪烁，闪烁的时长可设。</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支持不低于600MBps图片并发输入，同时不低于600MBps图片并发输出。</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支持接入MPEG4、H.264、H.265、SVAC编码格式的前端设备并存储录像文件。</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不同大小的硬盘混合使用，可显示硬盘总容量，可将数据随机分散存储至各个硬盘，可参与全盘某种业务，可通过IE浏览器对存储数据进行备份，前面板具有锁止功能，加锁后硬盘无法取出，具有可拆卸式防尘滤网。</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可根据事件名称查询所有相关联的不同前端或时间的录像段并进行回放和下载。</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★支持人脸、人体和车辆识别算法的融合应用，并可以手动方式进行切换，名单库容量支持≥100万，支持按人体检索图片，并可显示该人体所在的环境图片，可回放该人体录像前后≥10s的视频图像。</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★可识别和拒绝在黑名单内的程序的运行，支持同时对≥12路1080P全帧率实时车辆视频进行智能分析，可对一张图中的多个目标（行人或车辆）进行识别，可按照活动目标的行进方向进行检索。</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支持车辆类型、车辆方向、车流量检索，支持通过车牌号、时间进行布控，支持按照模板批量导入导出布控信息，支持历史布控记录检索。</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★可通过IE浏览器对指定时间的数据文件进行压缩保存，并可解压恢复，当设备图片直存的数据库被破坏时，可进行恢复。</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支持车牌模糊检索功能，支持按时间、通道、人体检测各属性进行查询检索。</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支持按照性别、年龄段、是/否戴眼镜、点位信息、抓拍时间对历史抓拍人脸图片进行检索与导出，支持导入两张人脸图片进行一对一比对。</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★增加磁盘或存储节点后，数据可自动迁移到新增的磁盘中，可自动配置负载均衡，存储业务不中断，数据不丢失。</w:t>
            </w:r>
          </w:p>
          <w:p>
            <w:pPr>
              <w:widowControl/>
              <w:snapToGrid w:val="0"/>
              <w:spacing w:line="360" w:lineRule="auto"/>
              <w:ind w:firstLine="480"/>
              <w:jc w:val="left"/>
              <w:rPr>
                <w:rFonts w:ascii="宋体" w:hAnsi="宋体" w:cs="宋体"/>
                <w:highlight w:val="none"/>
              </w:rPr>
            </w:pPr>
            <w:r>
              <w:rPr>
                <w:rFonts w:ascii="宋体" w:hAnsi="宋体" w:cs="宋体"/>
                <w:highlight w:val="none"/>
              </w:rPr>
              <w:t>3</w:t>
            </w:r>
            <w:r>
              <w:rPr>
                <w:rFonts w:hint="eastAsia" w:ascii="宋体" w:hAnsi="宋体" w:cs="宋体"/>
                <w:highlight w:val="none"/>
              </w:rPr>
              <w:t>、移动卫星通信服务配套5套</w:t>
            </w:r>
          </w:p>
          <w:p>
            <w:pPr>
              <w:widowControl/>
              <w:snapToGrid w:val="0"/>
              <w:spacing w:line="360" w:lineRule="auto"/>
              <w:ind w:firstLine="480"/>
              <w:jc w:val="left"/>
              <w:rPr>
                <w:rFonts w:ascii="宋体" w:hAnsi="宋体" w:cs="宋体"/>
                <w:highlight w:val="none"/>
              </w:rPr>
            </w:pPr>
            <w:r>
              <w:rPr>
                <w:rFonts w:hint="eastAsia" w:ascii="宋体" w:hAnsi="宋体" w:cs="宋体"/>
                <w:highlight w:val="none"/>
              </w:rPr>
              <w:t>具备天通卫星移动网络语音、短信、低数据传输速率功能。具备地面全网通移动网络语音、短信、数据功能。具备北斗和 GPS 定位，以及开机位置上报功能。卫星话音速率：1.2kbps/2.4kbps/4kbps。卫星数据速率：9.6kbps；双卡双待：天通卡槽+全网通卡槽。3年天通卫星通讯费，每年1500分语音通话。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2" w:type="dxa"/>
            <w:vAlign w:val="center"/>
          </w:tcPr>
          <w:p>
            <w:pPr>
              <w:widowControl/>
              <w:snapToGrid w:val="0"/>
              <w:spacing w:line="400" w:lineRule="exact"/>
              <w:ind w:firstLine="0" w:firstLineChars="0"/>
              <w:jc w:val="center"/>
              <w:rPr>
                <w:rFonts w:ascii="宋体" w:hAnsi="宋体" w:cs="宋体"/>
                <w:kern w:val="0"/>
                <w:highlight w:val="none"/>
              </w:rPr>
            </w:pPr>
            <w:r>
              <w:rPr>
                <w:rFonts w:ascii="宋体" w:hAnsi="宋体" w:cs="宋体"/>
                <w:kern w:val="0"/>
                <w:highlight w:val="none"/>
              </w:rPr>
              <w:t>3</w:t>
            </w:r>
          </w:p>
        </w:tc>
        <w:tc>
          <w:tcPr>
            <w:tcW w:w="1457" w:type="dxa"/>
            <w:vAlign w:val="center"/>
          </w:tcPr>
          <w:p>
            <w:pPr>
              <w:widowControl/>
              <w:snapToGrid w:val="0"/>
              <w:spacing w:line="400" w:lineRule="exact"/>
              <w:ind w:firstLine="0" w:firstLineChars="0"/>
              <w:jc w:val="center"/>
              <w:rPr>
                <w:rFonts w:ascii="宋体" w:hAnsi="宋体" w:cs="宋体"/>
                <w:highlight w:val="none"/>
              </w:rPr>
            </w:pPr>
            <w:r>
              <w:rPr>
                <w:rFonts w:hint="eastAsia" w:ascii="宋体" w:hAnsi="宋体" w:cs="宋体"/>
                <w:highlight w:val="none"/>
              </w:rPr>
              <w:t>应急防汛抢险救援储备服务</w:t>
            </w:r>
          </w:p>
        </w:tc>
        <w:tc>
          <w:tcPr>
            <w:tcW w:w="600" w:type="dxa"/>
            <w:tcBorders>
              <w:righ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1</w:t>
            </w:r>
          </w:p>
        </w:tc>
        <w:tc>
          <w:tcPr>
            <w:tcW w:w="514" w:type="dxa"/>
            <w:tcBorders>
              <w:lef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项</w:t>
            </w:r>
          </w:p>
        </w:tc>
        <w:tc>
          <w:tcPr>
            <w:tcW w:w="6586" w:type="dxa"/>
            <w:vAlign w:val="center"/>
          </w:tcPr>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一、服务总体需求</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应急防汛抢险救援储备服务，是开展应急救援工作必不可少的条件，为保证应急工作的有效实施，以提供防汛抢险急用，确保度汛安全，并且应对洪涝灾害应急抢险，人员财产物资转移，运送救援人员进入灾害区域开展救援工作．及时转移受灾群众、伤员，运送灾区急需的食品、饮用水、药品、帐篷、救生器材等，转移受灾人民群众安全保障、抢险应急救援工作安全保障等。</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二、服务要求配套</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1、</w:t>
            </w:r>
            <w:r>
              <w:rPr>
                <w:rFonts w:hint="eastAsia" w:ascii="宋体" w:hAnsi="宋体" w:cs="宋体"/>
                <w:kern w:val="0"/>
                <w:highlight w:val="none"/>
                <w:lang w:bidi="ar"/>
              </w:rPr>
              <w:t>应急小型发电机组服务配套</w:t>
            </w:r>
            <w:r>
              <w:rPr>
                <w:rFonts w:hint="eastAsia" w:ascii="宋体" w:hAnsi="宋体" w:cs="宋体"/>
                <w:highlight w:val="none"/>
              </w:rPr>
              <w:t>2套</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3KW机组，排量（ml）: 212；缸径×行程（mm）：1-70*58；电压：220v；启动系统：电；油箱容积（L）:10；满载运行时间：10-12；噪音（7米）：68dba；外形尺寸（mm）：590*430*440；净重：45kg。</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2、应急救援照明服务配套5套</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光源（LED）：最大照明功率180W，平均使用寿命100000h；额定电压：22.2V，额定容量：5*5Ah，电池使用寿命：≥500（循环）；连续照明时间：强光6h，中光9h，弱光12h；充电时间：≤5h；外形尺寸：升降杆收缩状态：235×230×1145（±50）mm，升降杆展开状态：765×3545mm（±50mm）；重量：13±1kg；防护等级：IP66。</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3、应急防洪单兵救援服务配套</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①应急编织袋3</w:t>
            </w:r>
            <w:r>
              <w:rPr>
                <w:rFonts w:ascii="宋体" w:hAnsi="宋体" w:cs="宋体"/>
                <w:highlight w:val="none"/>
              </w:rPr>
              <w:t>0</w:t>
            </w:r>
            <w:r>
              <w:rPr>
                <w:rFonts w:hint="eastAsia" w:ascii="宋体" w:hAnsi="宋体" w:cs="宋体"/>
                <w:highlight w:val="none"/>
              </w:rPr>
              <w:t>00只，聚丙烯材质，白色，规格：95×55(cm)；每条袋子质量不小于90g，经纬密度：40×40～48×48（根/10cm）；经向断裂强度≥18kN/m，纬向断裂强度≥16kN/m。</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②应急救生圈2</w:t>
            </w:r>
            <w:r>
              <w:rPr>
                <w:rFonts w:ascii="宋体" w:hAnsi="宋体" w:cs="宋体"/>
                <w:highlight w:val="none"/>
              </w:rPr>
              <w:t>0</w:t>
            </w:r>
            <w:r>
              <w:rPr>
                <w:rFonts w:hint="eastAsia" w:ascii="宋体" w:hAnsi="宋体" w:cs="宋体"/>
                <w:highlight w:val="none"/>
              </w:rPr>
              <w:t>个，采用高密度聚苯乙烯为壳体，船用CCS成人实心救生圈聚乙烯塑料泳池游泳圈2.5kg专业塑料大浮圈。</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③应急救生衣</w:t>
            </w:r>
            <w:r>
              <w:rPr>
                <w:rFonts w:ascii="宋体" w:hAnsi="宋体" w:cs="宋体"/>
                <w:highlight w:val="none"/>
              </w:rPr>
              <w:t>200</w:t>
            </w:r>
            <w:r>
              <w:rPr>
                <w:rFonts w:hint="eastAsia" w:ascii="宋体" w:hAnsi="宋体" w:cs="宋体"/>
                <w:highlight w:val="none"/>
              </w:rPr>
              <w:t>个，用于水旱灾害防御专家及现场处置工作人员救生使用，适用于水库、河道巡检、水域监测防护。采用牛津布，防水耐磨；颜色：橙色；面料经向、纬向拉断强度（试样 200mm×50mm）≥784N；面料经向、纬向密度（试样 100mm）≥106 根；缝线为耐油、耐海水的机缝线，其断裂强度≥19.6N。缚带为柔软的编织带，或用与面料相同的布料缝制而成，其断裂强度≥ 882N；扣具挂重882N，历时30min后应无损坏；浮力：≥74 N；逆向反光片≥200cm²；单件重量：≤0.8 kg；哨笛：配备声音响度（声压级）达到100dB的哨笛1支。</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④应急便携手提发电机2台，额定功率：3kw；峰值功率：3.3kw；额定电流：13A；油箱容积：4.1L；机油容积：0.45L；直流输出：12V/8.3A；启动方式：手拉；净重：21kg；额定电压：220V；机器尺寸：480x290x440mm。</w:t>
            </w:r>
          </w:p>
          <w:p>
            <w:pPr>
              <w:widowControl/>
              <w:snapToGrid w:val="0"/>
              <w:spacing w:line="400" w:lineRule="exact"/>
              <w:ind w:right="43" w:rightChars="18" w:firstLine="480"/>
              <w:jc w:val="left"/>
              <w:rPr>
                <w:rFonts w:ascii="宋体" w:hAnsi="宋体" w:cs="宋体"/>
                <w:highlight w:val="none"/>
              </w:rPr>
            </w:pPr>
            <w:r>
              <w:rPr>
                <w:rFonts w:hint="eastAsia" w:ascii="宋体" w:hAnsi="宋体" w:cs="宋体"/>
                <w:highlight w:val="none"/>
              </w:rPr>
              <w:t>⑤应急救援抛投器2台（工作压力：200BAR,绳子尺寸：4MM*120MM,绳子拉力：》2000N，抛投距离：》110M），应急救援伸缩梯1</w:t>
            </w:r>
            <w:r>
              <w:rPr>
                <w:rFonts w:ascii="宋体" w:hAnsi="宋体" w:cs="宋体"/>
                <w:highlight w:val="none"/>
              </w:rPr>
              <w:t>7</w:t>
            </w:r>
            <w:r>
              <w:rPr>
                <w:rFonts w:hint="eastAsia" w:ascii="宋体" w:hAnsi="宋体" w:cs="宋体"/>
                <w:highlight w:val="none"/>
              </w:rPr>
              <w:t>个，应急防汛应急对讲机4台（防水，数字/模拟双模式，频率范围：400-470MHZ，信道数：32个，电源电压：7.4VDC,工作温度：-30°C--+60°C,外形尺寸：54*113*24.9MM）。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2" w:type="dxa"/>
            <w:vAlign w:val="center"/>
          </w:tcPr>
          <w:p>
            <w:pPr>
              <w:widowControl/>
              <w:snapToGrid w:val="0"/>
              <w:spacing w:line="400" w:lineRule="exact"/>
              <w:ind w:firstLine="0" w:firstLineChars="0"/>
              <w:jc w:val="center"/>
              <w:rPr>
                <w:rFonts w:ascii="宋体" w:hAnsi="宋体" w:cs="宋体"/>
                <w:kern w:val="0"/>
                <w:highlight w:val="none"/>
              </w:rPr>
            </w:pPr>
            <w:r>
              <w:rPr>
                <w:rFonts w:ascii="宋体" w:hAnsi="宋体" w:cs="宋体"/>
                <w:kern w:val="0"/>
                <w:highlight w:val="none"/>
              </w:rPr>
              <w:t>4</w:t>
            </w:r>
          </w:p>
        </w:tc>
        <w:tc>
          <w:tcPr>
            <w:tcW w:w="1457" w:type="dxa"/>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应急基础信息全域全量采集服务</w:t>
            </w:r>
          </w:p>
        </w:tc>
        <w:tc>
          <w:tcPr>
            <w:tcW w:w="600" w:type="dxa"/>
            <w:tcBorders>
              <w:righ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1</w:t>
            </w:r>
          </w:p>
        </w:tc>
        <w:tc>
          <w:tcPr>
            <w:tcW w:w="514" w:type="dxa"/>
            <w:tcBorders>
              <w:lef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项</w:t>
            </w:r>
          </w:p>
        </w:tc>
        <w:tc>
          <w:tcPr>
            <w:tcW w:w="6586" w:type="dxa"/>
            <w:vAlign w:val="center"/>
          </w:tcPr>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一、总体服务需求</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 xml:space="preserve">对县区应急部门的应急管理数据进行采集、存储和关联分析，建立数据维护机制和各类数据更新规范，提供数据采集、整理、上图展示全流程工具和培训服务，为态势感知、指挥调度、救援实战提供数据支撑。 </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▲数据采集：依托广西应急管理厅数据采集系统，对应急基础信息进行全域全量采集，并编制县本级数据资源共享目录，提供数据纠错、反馈、更新提醒等服务。</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采集工具定制化：根据本县数据采集需求，定制满足本县数据采集开发新功能，数据上传、发布、共享、快速检索等功能服务，包括持续的版本升级服务。</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数据管理：根据广西应急管理厅的要求，提供安全生产、风险隐患、救援队伍、应急物资、应急预案等应急基础数据数理服务。</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▲数据应用：根据本级的需求，构建数据模型，实现数据与广西应急管理一张图实时关联分析，实现看图指挥、看图作战。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2" w:type="dxa"/>
            <w:vAlign w:val="center"/>
          </w:tcPr>
          <w:p>
            <w:pPr>
              <w:widowControl/>
              <w:snapToGrid w:val="0"/>
              <w:spacing w:line="400" w:lineRule="exact"/>
              <w:ind w:firstLine="0" w:firstLineChars="0"/>
              <w:jc w:val="center"/>
              <w:rPr>
                <w:rFonts w:ascii="宋体" w:hAnsi="宋体" w:cs="宋体"/>
                <w:kern w:val="0"/>
                <w:highlight w:val="none"/>
              </w:rPr>
            </w:pPr>
            <w:r>
              <w:rPr>
                <w:rFonts w:ascii="宋体" w:hAnsi="宋体" w:cs="宋体"/>
                <w:kern w:val="0"/>
                <w:highlight w:val="none"/>
              </w:rPr>
              <w:t>5</w:t>
            </w:r>
          </w:p>
        </w:tc>
        <w:tc>
          <w:tcPr>
            <w:tcW w:w="1457" w:type="dxa"/>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通讯网络集成服务</w:t>
            </w:r>
          </w:p>
        </w:tc>
        <w:tc>
          <w:tcPr>
            <w:tcW w:w="600" w:type="dxa"/>
            <w:tcBorders>
              <w:righ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1</w:t>
            </w:r>
          </w:p>
        </w:tc>
        <w:tc>
          <w:tcPr>
            <w:tcW w:w="514" w:type="dxa"/>
            <w:tcBorders>
              <w:left w:val="single" w:color="auto" w:sz="4" w:space="0"/>
            </w:tcBorders>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cs="宋体"/>
                <w:kern w:val="0"/>
                <w:highlight w:val="none"/>
              </w:rPr>
              <w:t>项</w:t>
            </w:r>
          </w:p>
        </w:tc>
        <w:tc>
          <w:tcPr>
            <w:tcW w:w="6586" w:type="dxa"/>
            <w:vAlign w:val="center"/>
          </w:tcPr>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一、服务总体需求</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为了满足指挥中心对应急值守、监测预警、应急处置等功能的要求，指挥中心需要与其他应急相关协同单位进行互联互通，资源共享、汇聚整合，调用其他部委办资源，联接到应急指挥中心，并进行终端登录访问。</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二、服务要求配套</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数据专线</w:t>
            </w:r>
            <w:r>
              <w:rPr>
                <w:rFonts w:ascii="宋体" w:hAnsi="宋体" w:cs="宋体"/>
                <w:highlight w:val="none"/>
              </w:rPr>
              <w:t>2</w:t>
            </w:r>
            <w:r>
              <w:rPr>
                <w:rFonts w:hint="eastAsia" w:ascii="宋体" w:hAnsi="宋体" w:cs="宋体"/>
                <w:highlight w:val="none"/>
              </w:rPr>
              <w:t>条，上行速率50M下行速率50M，服务期3年。</w:t>
            </w:r>
          </w:p>
          <w:p>
            <w:pPr>
              <w:widowControl/>
              <w:snapToGrid w:val="0"/>
              <w:spacing w:line="360" w:lineRule="auto"/>
              <w:ind w:right="43" w:rightChars="18" w:firstLine="480"/>
              <w:jc w:val="left"/>
              <w:rPr>
                <w:rFonts w:ascii="宋体" w:hAnsi="宋体" w:cs="宋体"/>
                <w:highlight w:val="none"/>
              </w:rPr>
            </w:pPr>
            <w:r>
              <w:rPr>
                <w:rFonts w:hint="eastAsia" w:ascii="宋体" w:hAnsi="宋体" w:cs="宋体"/>
                <w:highlight w:val="none"/>
              </w:rPr>
              <w:t>互联网专线1条，上行速率100M下行速率100M含固定IP，服务期3年。</w:t>
            </w:r>
          </w:p>
          <w:p>
            <w:pPr>
              <w:widowControl/>
              <w:snapToGrid w:val="0"/>
              <w:spacing w:line="360" w:lineRule="auto"/>
              <w:ind w:right="43" w:rightChars="18" w:firstLine="480"/>
              <w:jc w:val="left"/>
              <w:rPr>
                <w:rFonts w:ascii="宋体" w:hAnsi="宋体"/>
                <w:highlight w:val="none"/>
              </w:rPr>
            </w:pPr>
            <w:r>
              <w:rPr>
                <w:rFonts w:hint="eastAsia" w:ascii="宋体" w:hAnsi="宋体"/>
                <w:highlight w:val="none"/>
              </w:rPr>
              <w:t>短信平台，1年20万条短信，3年服务。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9" w:type="dxa"/>
            <w:gridSpan w:val="5"/>
            <w:vAlign w:val="center"/>
          </w:tcPr>
          <w:p>
            <w:pPr>
              <w:widowControl/>
              <w:snapToGrid w:val="0"/>
              <w:spacing w:line="400" w:lineRule="exact"/>
              <w:ind w:right="43" w:rightChars="18" w:firstLine="0" w:firstLineChars="0"/>
              <w:jc w:val="left"/>
              <w:rPr>
                <w:rFonts w:ascii="宋体" w:hAnsi="宋体" w:cs="宋体"/>
                <w:highlight w:val="none"/>
              </w:rPr>
            </w:pPr>
            <w:r>
              <w:rPr>
                <w:rFonts w:hint="eastAsia" w:ascii="宋体" w:hAnsi="宋体" w:cs="宋体"/>
                <w:b/>
                <w:bCs/>
                <w:highlight w:val="none"/>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9" w:type="dxa"/>
            <w:gridSpan w:val="2"/>
            <w:vAlign w:val="center"/>
          </w:tcPr>
          <w:p>
            <w:pPr>
              <w:widowControl/>
              <w:snapToGrid w:val="0"/>
              <w:spacing w:line="400" w:lineRule="exact"/>
              <w:ind w:firstLine="0" w:firstLineChars="0"/>
              <w:jc w:val="center"/>
              <w:rPr>
                <w:rFonts w:ascii="宋体" w:hAnsi="宋体" w:cs="宋体"/>
                <w:kern w:val="0"/>
                <w:highlight w:val="none"/>
              </w:rPr>
            </w:pPr>
            <w:r>
              <w:rPr>
                <w:rFonts w:hint="eastAsia" w:ascii="宋体" w:hAnsi="宋体" w:eastAsia="宋体" w:cs="宋体"/>
                <w:highlight w:val="none"/>
              </w:rPr>
              <w:t>基本要求</w:t>
            </w:r>
          </w:p>
        </w:tc>
        <w:tc>
          <w:tcPr>
            <w:tcW w:w="7700" w:type="dxa"/>
            <w:gridSpan w:val="3"/>
            <w:vAlign w:val="center"/>
          </w:tcPr>
          <w:p>
            <w:pPr>
              <w:widowControl/>
              <w:snapToGrid w:val="0"/>
              <w:spacing w:line="360" w:lineRule="auto"/>
              <w:ind w:firstLine="480" w:firstLineChars="200"/>
              <w:rPr>
                <w:rFonts w:ascii="宋体" w:hAnsi="宋体" w:cs="宋体"/>
                <w:highlight w:val="none"/>
              </w:rPr>
            </w:pPr>
            <w:r>
              <w:rPr>
                <w:rFonts w:hint="eastAsia" w:ascii="宋体" w:hAnsi="宋体" w:cs="宋体"/>
                <w:highlight w:val="none"/>
                <w:lang w:val="en-US" w:eastAsia="zh-CN"/>
              </w:rPr>
              <w:t>竞标</w:t>
            </w:r>
            <w:r>
              <w:rPr>
                <w:rFonts w:hint="eastAsia" w:ascii="宋体" w:hAnsi="宋体" w:eastAsia="宋体" w:cs="宋体"/>
                <w:highlight w:val="none"/>
              </w:rPr>
              <w:t>产品必须是按厂家出厂标准配置提供的整套具备全新正规合法经销渠道的符合国家各项有关质量标准的合格产品。相关部件及服务须满足本表中各项要求。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9" w:type="dxa"/>
            <w:gridSpan w:val="2"/>
            <w:vAlign w:val="center"/>
          </w:tcPr>
          <w:p>
            <w:pPr>
              <w:bidi w:val="0"/>
              <w:spacing w:line="360" w:lineRule="auto"/>
              <w:jc w:val="center"/>
              <w:rPr>
                <w:rFonts w:ascii="宋体" w:hAnsi="宋体" w:cs="宋体"/>
                <w:kern w:val="0"/>
                <w:highlight w:val="none"/>
              </w:rPr>
            </w:pPr>
            <w:r>
              <w:rPr>
                <w:rFonts w:hint="eastAsia" w:ascii="宋体" w:hAnsi="宋体" w:eastAsia="宋体" w:cs="宋体"/>
                <w:highlight w:val="none"/>
              </w:rPr>
              <w:t>报价方式</w:t>
            </w:r>
          </w:p>
        </w:tc>
        <w:tc>
          <w:tcPr>
            <w:tcW w:w="7700" w:type="dxa"/>
            <w:gridSpan w:val="3"/>
            <w:vAlign w:val="center"/>
          </w:tcPr>
          <w:p>
            <w:pPr>
              <w:bidi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本项目以合同总价形式报价，超过最高限价：人民币</w:t>
            </w:r>
            <w:r>
              <w:rPr>
                <w:rFonts w:hint="eastAsia" w:ascii="宋体" w:hAnsi="宋体" w:cs="宋体"/>
                <w:highlight w:val="none"/>
                <w:lang w:val="en-US" w:eastAsia="zh-CN"/>
              </w:rPr>
              <w:t>贰佰肆拾陆万陆仟壹佰</w:t>
            </w:r>
            <w:r>
              <w:rPr>
                <w:rFonts w:hint="eastAsia" w:ascii="宋体" w:hAnsi="宋体" w:eastAsia="宋体" w:cs="宋体"/>
                <w:highlight w:val="none"/>
              </w:rPr>
              <w:t>元整（¥</w:t>
            </w:r>
            <w:r>
              <w:rPr>
                <w:rFonts w:hint="eastAsia" w:ascii="宋体" w:hAnsi="宋体" w:cs="宋体"/>
                <w:highlight w:val="none"/>
                <w:lang w:val="en-US" w:eastAsia="zh-CN"/>
              </w:rPr>
              <w:t>2466100.00</w:t>
            </w:r>
            <w:r>
              <w:rPr>
                <w:rFonts w:hint="eastAsia" w:ascii="宋体" w:hAnsi="宋体" w:eastAsia="宋体" w:cs="宋体"/>
                <w:highlight w:val="none"/>
              </w:rPr>
              <w:t>）的</w:t>
            </w:r>
            <w:r>
              <w:rPr>
                <w:rFonts w:hint="eastAsia" w:ascii="宋体" w:hAnsi="宋体" w:cs="宋体"/>
                <w:highlight w:val="none"/>
                <w:lang w:val="en-US" w:eastAsia="zh-CN"/>
              </w:rPr>
              <w:t>竞标</w:t>
            </w:r>
            <w:r>
              <w:rPr>
                <w:rFonts w:hint="eastAsia" w:ascii="宋体" w:hAnsi="宋体" w:eastAsia="宋体" w:cs="宋体"/>
                <w:highlight w:val="none"/>
              </w:rPr>
              <w:t>报价无效。</w:t>
            </w:r>
          </w:p>
          <w:p>
            <w:pPr>
              <w:bidi w:val="0"/>
              <w:spacing w:line="360" w:lineRule="auto"/>
              <w:rPr>
                <w:rFonts w:ascii="宋体" w:hAnsi="宋体" w:cs="宋体"/>
                <w:szCs w:val="24"/>
                <w:highlight w:val="none"/>
              </w:rPr>
            </w:pPr>
            <w:r>
              <w:rPr>
                <w:rFonts w:hint="eastAsia" w:ascii="宋体" w:hAnsi="宋体" w:eastAsia="宋体" w:cs="宋体"/>
                <w:highlight w:val="none"/>
              </w:rPr>
              <w:t>注：</w:t>
            </w:r>
            <w:r>
              <w:rPr>
                <w:rFonts w:hint="eastAsia" w:ascii="宋体" w:hAnsi="宋体" w:eastAsia="宋体" w:cs="宋体"/>
                <w:highlight w:val="none"/>
                <w:lang w:val="en-US" w:eastAsia="zh-CN"/>
              </w:rPr>
              <w:t>竞标</w:t>
            </w:r>
            <w:r>
              <w:rPr>
                <w:rFonts w:hint="eastAsia" w:ascii="宋体" w:hAnsi="宋体" w:eastAsia="宋体" w:cs="宋体"/>
                <w:highlight w:val="none"/>
              </w:rPr>
              <w:t>报价是履行合同的最终价格，供应商应充分考虑对</w:t>
            </w:r>
            <w:r>
              <w:rPr>
                <w:rFonts w:hint="eastAsia" w:ascii="宋体" w:hAnsi="宋体" w:eastAsia="宋体" w:cs="宋体"/>
                <w:highlight w:val="none"/>
                <w:lang w:val="en-US" w:eastAsia="zh-CN"/>
              </w:rPr>
              <w:t>竞标</w:t>
            </w:r>
            <w:r>
              <w:rPr>
                <w:rFonts w:hint="eastAsia" w:ascii="宋体" w:hAnsi="宋体" w:eastAsia="宋体" w:cs="宋体"/>
                <w:highlight w:val="none"/>
              </w:rPr>
              <w:t>报价中的货物和服务的报价应包括完成本项工作所需的人工、材料、器材、管理、维护、保险、利润、税金、通讯器材、办公设备、政策性文件规定及合同包含的所有风险、责任等各项应有费用。</w:t>
            </w:r>
            <w:r>
              <w:rPr>
                <w:rFonts w:hint="eastAsia" w:ascii="宋体" w:hAnsi="宋体" w:eastAsia="宋体" w:cs="宋体"/>
                <w:highlight w:val="none"/>
                <w:lang w:val="en-US" w:eastAsia="zh-CN"/>
              </w:rPr>
              <w:t>竞</w:t>
            </w:r>
            <w:r>
              <w:rPr>
                <w:rFonts w:hint="eastAsia" w:ascii="宋体" w:hAnsi="宋体" w:eastAsia="宋体" w:cs="宋体"/>
                <w:highlight w:val="none"/>
              </w:rPr>
              <w:t>标报价除非因特殊原因并经买卖双方协商同意，供应商不得再要求追加任何费用。同时，除非合同条款中另有规定，否则，</w:t>
            </w:r>
            <w:r>
              <w:rPr>
                <w:rFonts w:hint="eastAsia" w:ascii="宋体" w:hAnsi="宋体" w:cs="宋体"/>
                <w:highlight w:val="none"/>
                <w:lang w:val="en-US" w:eastAsia="zh-CN"/>
              </w:rPr>
              <w:t>供应商</w:t>
            </w:r>
            <w:r>
              <w:rPr>
                <w:rFonts w:hint="eastAsia" w:ascii="宋体" w:hAnsi="宋体" w:eastAsia="宋体" w:cs="宋体"/>
                <w:highlight w:val="none"/>
              </w:rPr>
              <w:t>所报价格在合同实施期间不因市场变化因素而变动。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9" w:type="dxa"/>
            <w:gridSpan w:val="2"/>
            <w:vAlign w:val="center"/>
          </w:tcPr>
          <w:p>
            <w:pPr>
              <w:bidi w:val="0"/>
              <w:spacing w:line="360" w:lineRule="auto"/>
              <w:jc w:val="center"/>
              <w:rPr>
                <w:rFonts w:ascii="宋体" w:hAnsi="宋体" w:cs="宋体"/>
                <w:kern w:val="0"/>
                <w:highlight w:val="none"/>
              </w:rPr>
            </w:pPr>
            <w:r>
              <w:rPr>
                <w:rFonts w:hint="eastAsia" w:ascii="宋体" w:hAnsi="宋体" w:eastAsia="宋体" w:cs="宋体"/>
                <w:highlight w:val="none"/>
              </w:rPr>
              <w:t>售后服务要求</w:t>
            </w:r>
          </w:p>
        </w:tc>
        <w:tc>
          <w:tcPr>
            <w:tcW w:w="7700" w:type="dxa"/>
            <w:gridSpan w:val="3"/>
            <w:vAlign w:val="center"/>
          </w:tcPr>
          <w:p>
            <w:pPr>
              <w:bidi w:val="0"/>
              <w:spacing w:line="360" w:lineRule="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color w:val="auto"/>
                <w:lang w:val="en-US" w:eastAsia="zh-CN"/>
              </w:rPr>
              <w:t>供应商</w:t>
            </w:r>
            <w:r>
              <w:rPr>
                <w:rFonts w:hint="eastAsia" w:ascii="宋体" w:hAnsi="宋体" w:eastAsia="宋体" w:cs="宋体"/>
                <w:highlight w:val="none"/>
              </w:rPr>
              <w:t>所提供服务满足所有系统性能配置要求。</w:t>
            </w:r>
          </w:p>
          <w:p>
            <w:pPr>
              <w:bidi w:val="0"/>
              <w:spacing w:line="360" w:lineRule="auto"/>
              <w:rPr>
                <w:rFonts w:hint="eastAsia" w:ascii="宋体" w:hAnsi="宋体" w:eastAsia="宋体" w:cs="宋体"/>
                <w:highlight w:val="none"/>
              </w:rPr>
            </w:pPr>
            <w:r>
              <w:rPr>
                <w:rFonts w:hint="eastAsia" w:ascii="宋体" w:hAnsi="宋体" w:eastAsia="宋体" w:cs="宋体"/>
                <w:highlight w:val="none"/>
              </w:rPr>
              <w:t>（2）服务期内，由</w:t>
            </w:r>
            <w:r>
              <w:rPr>
                <w:rFonts w:hint="eastAsia" w:ascii="宋体" w:hAnsi="宋体" w:cs="宋体"/>
                <w:highlight w:val="none"/>
                <w:lang w:val="en-US" w:eastAsia="zh-CN"/>
              </w:rPr>
              <w:t>成交</w:t>
            </w:r>
            <w:r>
              <w:rPr>
                <w:rFonts w:hint="eastAsia" w:ascii="宋体" w:hAnsi="宋体" w:eastAsia="宋体" w:cs="宋体"/>
                <w:highlight w:val="none"/>
              </w:rPr>
              <w:t>人根据</w:t>
            </w:r>
            <w:r>
              <w:rPr>
                <w:rFonts w:hint="eastAsia" w:ascii="宋体" w:hAnsi="宋体" w:cs="宋体"/>
                <w:highlight w:val="none"/>
                <w:lang w:val="en-US" w:eastAsia="zh-CN"/>
              </w:rPr>
              <w:t>采购</w:t>
            </w:r>
            <w:r>
              <w:rPr>
                <w:rFonts w:hint="eastAsia" w:ascii="宋体" w:hAnsi="宋体" w:eastAsia="宋体" w:cs="宋体"/>
                <w:highlight w:val="none"/>
              </w:rPr>
              <w:t>文件的要求进行维护服务，不可抗拒因素以及由采购人原因造成故障除外。</w:t>
            </w:r>
          </w:p>
          <w:p>
            <w:pPr>
              <w:bidi w:val="0"/>
              <w:spacing w:line="360" w:lineRule="auto"/>
              <w:rPr>
                <w:rFonts w:hint="eastAsia" w:ascii="宋体" w:hAnsi="宋体" w:eastAsia="宋体" w:cs="宋体"/>
                <w:highlight w:val="none"/>
              </w:rPr>
            </w:pPr>
            <w:r>
              <w:rPr>
                <w:rFonts w:hint="eastAsia" w:ascii="宋体" w:hAnsi="宋体" w:eastAsia="宋体" w:cs="宋体"/>
                <w:highlight w:val="none"/>
              </w:rPr>
              <w:t>（3）本项目完工后，须向用户提供操作、使用、测试、控制和维护手册。</w:t>
            </w:r>
          </w:p>
          <w:p>
            <w:pPr>
              <w:bidi w:val="0"/>
              <w:spacing w:line="360" w:lineRule="auto"/>
              <w:rPr>
                <w:rFonts w:ascii="宋体" w:hAnsi="宋体" w:cs="宋体"/>
                <w:szCs w:val="24"/>
                <w:highlight w:val="none"/>
              </w:rPr>
            </w:pPr>
            <w:r>
              <w:rPr>
                <w:rFonts w:hint="eastAsia" w:ascii="宋体" w:hAnsi="宋体" w:eastAsia="宋体" w:cs="宋体"/>
                <w:highlight w:val="none"/>
              </w:rPr>
              <w:t>（4）提供7×24小时服务电话。服务期内出现故障，</w:t>
            </w:r>
            <w:r>
              <w:rPr>
                <w:rFonts w:hint="eastAsia" w:ascii="宋体" w:hAnsi="宋体" w:cs="宋体"/>
                <w:highlight w:val="none"/>
                <w:lang w:val="en-US" w:eastAsia="zh-CN"/>
              </w:rPr>
              <w:t>成交</w:t>
            </w:r>
            <w:r>
              <w:rPr>
                <w:rFonts w:hint="eastAsia" w:ascii="宋体" w:hAnsi="宋体" w:eastAsia="宋体" w:cs="宋体"/>
                <w:highlight w:val="none"/>
              </w:rPr>
              <w:t>人在接到采购人通知后1小时内响应，12小时内到达现场处理，一般故障24小时内解决问题，重大故障（非设备原因）48小时内解决。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9" w:type="dxa"/>
            <w:gridSpan w:val="2"/>
            <w:vAlign w:val="center"/>
          </w:tcPr>
          <w:p>
            <w:pPr>
              <w:bidi w:val="0"/>
              <w:spacing w:line="360" w:lineRule="auto"/>
              <w:rPr>
                <w:rFonts w:ascii="宋体" w:hAnsi="宋体" w:cs="宋体"/>
                <w:kern w:val="0"/>
                <w:highlight w:val="none"/>
              </w:rPr>
            </w:pPr>
            <w:r>
              <w:rPr>
                <w:rFonts w:hint="eastAsia" w:ascii="宋体" w:hAnsi="宋体" w:eastAsia="宋体" w:cs="宋体"/>
                <w:highlight w:val="none"/>
              </w:rPr>
              <w:t>交付使用时间、服务期限及地点</w:t>
            </w:r>
          </w:p>
        </w:tc>
        <w:tc>
          <w:tcPr>
            <w:tcW w:w="7700" w:type="dxa"/>
            <w:gridSpan w:val="3"/>
            <w:vAlign w:val="center"/>
          </w:tcPr>
          <w:p>
            <w:pPr>
              <w:bidi w:val="0"/>
              <w:spacing w:line="360" w:lineRule="auto"/>
              <w:rPr>
                <w:rFonts w:hint="eastAsia" w:ascii="宋体" w:hAnsi="宋体" w:eastAsia="宋体" w:cs="宋体"/>
                <w:highlight w:val="none"/>
              </w:rPr>
            </w:pPr>
            <w:r>
              <w:rPr>
                <w:rFonts w:hint="eastAsia" w:ascii="宋体" w:hAnsi="宋体" w:eastAsia="宋体" w:cs="宋体"/>
                <w:highlight w:val="none"/>
              </w:rPr>
              <w:t>（1）交付使用时间：签订合同后</w:t>
            </w:r>
            <w:r>
              <w:rPr>
                <w:rFonts w:hint="eastAsia" w:ascii="宋体" w:hAnsi="宋体" w:eastAsia="宋体" w:cs="宋体"/>
                <w:highlight w:val="none"/>
                <w:u w:val="single"/>
              </w:rPr>
              <w:t>90</w:t>
            </w:r>
            <w:r>
              <w:rPr>
                <w:rFonts w:hint="eastAsia" w:ascii="宋体" w:hAnsi="宋体" w:eastAsia="宋体" w:cs="宋体"/>
                <w:highlight w:val="none"/>
              </w:rPr>
              <w:t>个日历日内建设完毕通过验收并交付使用。</w:t>
            </w:r>
          </w:p>
          <w:p>
            <w:pPr>
              <w:bidi w:val="0"/>
              <w:spacing w:line="360" w:lineRule="auto"/>
              <w:rPr>
                <w:rFonts w:hint="eastAsia" w:ascii="宋体" w:hAnsi="宋体" w:eastAsia="宋体" w:cs="宋体"/>
                <w:highlight w:val="none"/>
              </w:rPr>
            </w:pPr>
            <w:r>
              <w:rPr>
                <w:rFonts w:hint="eastAsia" w:ascii="宋体" w:hAnsi="宋体" w:eastAsia="宋体" w:cs="宋体"/>
                <w:highlight w:val="none"/>
              </w:rPr>
              <w:t>（2）服务期限：签订合同后自项目通过验收交付使用之日起</w:t>
            </w:r>
            <w:r>
              <w:rPr>
                <w:rFonts w:hint="eastAsia" w:ascii="宋体" w:hAnsi="宋体" w:eastAsia="宋体" w:cs="宋体"/>
                <w:highlight w:val="none"/>
                <w:u w:val="single"/>
              </w:rPr>
              <w:t>3</w:t>
            </w:r>
            <w:r>
              <w:rPr>
                <w:rFonts w:hint="eastAsia" w:ascii="宋体" w:hAnsi="宋体" w:eastAsia="宋体" w:cs="宋体"/>
                <w:highlight w:val="none"/>
              </w:rPr>
              <w:t>年。</w:t>
            </w:r>
          </w:p>
          <w:p>
            <w:pPr>
              <w:bidi w:val="0"/>
              <w:spacing w:line="360" w:lineRule="auto"/>
              <w:rPr>
                <w:rFonts w:ascii="宋体" w:hAnsi="宋体" w:cs="宋体"/>
                <w:highlight w:val="none"/>
              </w:rPr>
            </w:pPr>
            <w:r>
              <w:rPr>
                <w:rFonts w:hint="eastAsia" w:ascii="宋体" w:hAnsi="宋体" w:eastAsia="宋体" w:cs="宋体"/>
                <w:highlight w:val="none"/>
              </w:rPr>
              <w:t>（3）交货地点：广西柳州三江县采购人指定地点。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9" w:type="dxa"/>
            <w:gridSpan w:val="2"/>
            <w:vAlign w:val="center"/>
          </w:tcPr>
          <w:p>
            <w:pPr>
              <w:bidi w:val="0"/>
              <w:spacing w:line="360" w:lineRule="auto"/>
              <w:jc w:val="center"/>
              <w:rPr>
                <w:rFonts w:ascii="宋体" w:hAnsi="宋体" w:cs="宋体"/>
                <w:b/>
                <w:bCs/>
                <w:highlight w:val="none"/>
              </w:rPr>
            </w:pPr>
            <w:r>
              <w:rPr>
                <w:rFonts w:hint="eastAsia" w:ascii="宋体" w:hAnsi="宋体" w:eastAsia="宋体" w:cs="宋体"/>
                <w:highlight w:val="none"/>
              </w:rPr>
              <w:t>付款方式</w:t>
            </w:r>
          </w:p>
        </w:tc>
        <w:tc>
          <w:tcPr>
            <w:tcW w:w="7700" w:type="dxa"/>
            <w:gridSpan w:val="3"/>
            <w:vAlign w:val="center"/>
          </w:tcPr>
          <w:p>
            <w:pPr>
              <w:bidi w:val="0"/>
              <w:spacing w:line="360" w:lineRule="auto"/>
              <w:ind w:firstLine="480" w:firstLineChars="200"/>
              <w:rPr>
                <w:rFonts w:ascii="宋体" w:hAnsi="宋体" w:cs="宋体"/>
                <w:b w:val="0"/>
                <w:bCs w:val="0"/>
                <w:highlight w:val="none"/>
              </w:rPr>
            </w:pPr>
            <w:r>
              <w:rPr>
                <w:rFonts w:hint="eastAsia" w:ascii="宋体" w:hAnsi="宋体" w:cs="宋体"/>
                <w:b w:val="0"/>
                <w:bCs w:val="0"/>
                <w:highlight w:val="none"/>
              </w:rPr>
              <w:t>签订合同后10日内，采购人支付合同金额的20%。项目安装调试完毕初步验收合格后，采购人支付合同金额的60%。项目实施全部完成经最终验收合格后，原则上在30天内支付余下合同金额的20%给</w:t>
            </w:r>
            <w:r>
              <w:rPr>
                <w:rFonts w:hint="eastAsia" w:ascii="宋体" w:hAnsi="宋体" w:cs="宋体"/>
                <w:b w:val="0"/>
                <w:bCs w:val="0"/>
                <w:highlight w:val="none"/>
                <w:lang w:val="en-US" w:eastAsia="zh-CN"/>
              </w:rPr>
              <w:t>成交供应商</w:t>
            </w:r>
            <w:r>
              <w:rPr>
                <w:rFonts w:hint="eastAsia" w:ascii="宋体" w:hAnsi="宋体" w:cs="宋体"/>
                <w:b w:val="0"/>
                <w:bCs w:val="0"/>
                <w:highlight w:val="none"/>
              </w:rPr>
              <w:t>。每次付款</w:t>
            </w:r>
            <w:r>
              <w:rPr>
                <w:rFonts w:hint="eastAsia" w:ascii="宋体" w:hAnsi="宋体" w:cs="宋体"/>
                <w:b w:val="0"/>
                <w:bCs w:val="0"/>
                <w:highlight w:val="none"/>
                <w:lang w:val="en-US" w:eastAsia="zh-CN"/>
              </w:rPr>
              <w:t>成交供应商</w:t>
            </w:r>
            <w:r>
              <w:rPr>
                <w:rFonts w:hint="eastAsia" w:ascii="宋体" w:hAnsi="宋体" w:cs="宋体"/>
                <w:b w:val="0"/>
                <w:bCs w:val="0"/>
                <w:highlight w:val="none"/>
              </w:rPr>
              <w:t>需向采购人提供等值合法正式有效的税务发票和付款通知书。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9" w:type="dxa"/>
            <w:gridSpan w:val="2"/>
            <w:vAlign w:val="center"/>
          </w:tcPr>
          <w:p>
            <w:pPr>
              <w:bidi w:val="0"/>
              <w:spacing w:line="360" w:lineRule="auto"/>
              <w:jc w:val="center"/>
              <w:rPr>
                <w:rFonts w:ascii="宋体" w:hAnsi="宋体" w:cs="宋体"/>
                <w:kern w:val="0"/>
                <w:highlight w:val="none"/>
              </w:rPr>
            </w:pPr>
            <w:r>
              <w:rPr>
                <w:rFonts w:hint="eastAsia" w:ascii="宋体" w:hAnsi="宋体" w:eastAsia="宋体" w:cs="宋体"/>
                <w:highlight w:val="none"/>
              </w:rPr>
              <w:t>验收条件及标准</w:t>
            </w:r>
          </w:p>
        </w:tc>
        <w:tc>
          <w:tcPr>
            <w:tcW w:w="7700" w:type="dxa"/>
            <w:gridSpan w:val="3"/>
            <w:vAlign w:val="center"/>
          </w:tcPr>
          <w:p>
            <w:pPr>
              <w:bidi w:val="0"/>
              <w:spacing w:line="360" w:lineRule="auto"/>
              <w:ind w:firstLine="480" w:firstLineChars="200"/>
              <w:rPr>
                <w:rFonts w:ascii="宋体" w:hAnsi="宋体" w:cs="宋体"/>
                <w:highlight w:val="none"/>
              </w:rPr>
            </w:pPr>
            <w:r>
              <w:rPr>
                <w:rFonts w:hint="eastAsia" w:ascii="宋体" w:hAnsi="宋体" w:eastAsia="宋体" w:cs="宋体"/>
                <w:highlight w:val="none"/>
              </w:rPr>
              <w:t>交付验收时，采购人根据《广西壮族自治区政府采购项目履约验收管理办法》及国家有关强制性标准的规定，由采购人及</w:t>
            </w:r>
            <w:r>
              <w:rPr>
                <w:rFonts w:hint="eastAsia" w:ascii="宋体" w:hAnsi="宋体" w:cs="宋体"/>
                <w:highlight w:val="none"/>
                <w:lang w:val="en-US" w:eastAsia="zh-CN"/>
              </w:rPr>
              <w:t>成交</w:t>
            </w:r>
            <w:r>
              <w:rPr>
                <w:rFonts w:hint="eastAsia" w:ascii="宋体" w:hAnsi="宋体" w:eastAsia="宋体" w:cs="宋体"/>
                <w:highlight w:val="none"/>
              </w:rPr>
              <w:t>供应商等共同进行验收。若采购人委托采购代理机构、国家认可的质量检测机构开展采购项目履约验收工作，费用另议。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9" w:type="dxa"/>
            <w:gridSpan w:val="2"/>
            <w:vAlign w:val="center"/>
          </w:tcPr>
          <w:p>
            <w:pPr>
              <w:bidi w:val="0"/>
              <w:spacing w:line="360" w:lineRule="auto"/>
              <w:jc w:val="center"/>
              <w:rPr>
                <w:rFonts w:ascii="宋体" w:hAnsi="宋体" w:cs="宋体"/>
                <w:highlight w:val="none"/>
              </w:rPr>
            </w:pPr>
            <w:r>
              <w:rPr>
                <w:rFonts w:hint="eastAsia" w:ascii="宋体" w:hAnsi="宋体" w:eastAsia="宋体" w:cs="宋体"/>
                <w:highlight w:val="none"/>
              </w:rPr>
              <w:t>其他要求</w:t>
            </w:r>
          </w:p>
        </w:tc>
        <w:tc>
          <w:tcPr>
            <w:tcW w:w="7700" w:type="dxa"/>
            <w:gridSpan w:val="3"/>
            <w:vAlign w:val="center"/>
          </w:tcPr>
          <w:p>
            <w:pPr>
              <w:bidi w:val="0"/>
              <w:spacing w:line="360" w:lineRule="auto"/>
              <w:ind w:firstLine="480" w:firstLineChars="200"/>
              <w:rPr>
                <w:rFonts w:ascii="宋体" w:hAnsi="宋体" w:cs="宋体"/>
                <w:highlight w:val="none"/>
              </w:rPr>
            </w:pPr>
            <w:r>
              <w:rPr>
                <w:rFonts w:hint="eastAsia" w:ascii="宋体" w:hAnsi="宋体" w:eastAsia="宋体" w:cs="宋体"/>
                <w:highlight w:val="none"/>
              </w:rPr>
              <w:t>采购人在中华人民共和国境内使用供应商提供的服务时免受第三方提出的侵犯其专利权或其它知识产权的起诉。如果第三方提出侵权指控，成交供应商应承担由此而引起的一切法律责任和费用。</w:t>
            </w:r>
          </w:p>
        </w:tc>
      </w:tr>
    </w:tbl>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3"/>
        <w:bidi w:val="0"/>
        <w:rPr>
          <w:rFonts w:hint="eastAsia" w:ascii="宋体" w:hAnsi="宋体" w:eastAsia="宋体" w:cs="宋体"/>
          <w:color w:val="auto"/>
        </w:rPr>
      </w:pPr>
      <w:bookmarkStart w:id="67" w:name="_Toc254970548"/>
      <w:bookmarkStart w:id="68" w:name="_Toc18424521"/>
      <w:bookmarkStart w:id="69" w:name="_Toc254970689"/>
      <w:bookmarkStart w:id="70" w:name="_Toc10674"/>
      <w:r>
        <w:rPr>
          <w:rFonts w:hint="eastAsia" w:ascii="宋体" w:hAnsi="宋体" w:eastAsia="宋体" w:cs="宋体"/>
          <w:color w:val="auto"/>
        </w:rPr>
        <w:t xml:space="preserve">第四章  </w:t>
      </w:r>
      <w:bookmarkEnd w:id="67"/>
      <w:bookmarkEnd w:id="68"/>
      <w:bookmarkEnd w:id="69"/>
      <w:r>
        <w:rPr>
          <w:rFonts w:hint="eastAsia" w:ascii="宋体" w:hAnsi="宋体" w:eastAsia="宋体" w:cs="宋体"/>
          <w:color w:val="auto"/>
        </w:rPr>
        <w:t>评审程序、评审方法和评审标准</w:t>
      </w:r>
      <w:bookmarkEnd w:id="70"/>
    </w:p>
    <w:p>
      <w:pPr>
        <w:pStyle w:val="4"/>
        <w:jc w:val="center"/>
        <w:rPr>
          <w:rFonts w:ascii="宋体" w:hAnsi="宋体" w:eastAsia="宋体" w:cs="宋体"/>
          <w:bCs w:val="0"/>
          <w:sz w:val="24"/>
          <w:szCs w:val="24"/>
        </w:rPr>
      </w:pPr>
      <w:bookmarkStart w:id="71" w:name="_Toc28927"/>
      <w:bookmarkStart w:id="72" w:name="_Toc28621"/>
      <w:bookmarkStart w:id="73" w:name="_Toc80886938"/>
      <w:bookmarkStart w:id="74" w:name="_Toc2521"/>
      <w:bookmarkStart w:id="75" w:name="_Toc10681"/>
      <w:bookmarkStart w:id="76" w:name="_Toc24071"/>
      <w:bookmarkStart w:id="77" w:name="_Toc28988"/>
      <w:bookmarkStart w:id="78" w:name="_Toc12455"/>
      <w:bookmarkStart w:id="79" w:name="_Toc29125"/>
      <w:bookmarkStart w:id="80" w:name="_Toc20953"/>
      <w:bookmarkStart w:id="81" w:name="_Toc12576"/>
      <w:bookmarkStart w:id="82" w:name="_Toc22215"/>
      <w:bookmarkStart w:id="83" w:name="_Toc16315"/>
      <w:bookmarkStart w:id="84" w:name="_Toc27822"/>
      <w:bookmarkStart w:id="85" w:name="_Toc4283"/>
      <w:r>
        <w:rPr>
          <w:rFonts w:hint="eastAsia" w:ascii="宋体" w:hAnsi="宋体" w:eastAsia="宋体" w:cs="宋体"/>
          <w:bCs w:val="0"/>
          <w:sz w:val="24"/>
          <w:szCs w:val="24"/>
        </w:rPr>
        <w:t>第一节 评审程序和评审方法</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360" w:lineRule="auto"/>
        <w:ind w:firstLine="422" w:firstLineChars="175"/>
        <w:rPr>
          <w:rFonts w:ascii="宋体" w:hAnsi="宋体" w:cs="宋体"/>
          <w:b/>
          <w:bCs/>
        </w:rPr>
      </w:pPr>
      <w:r>
        <w:rPr>
          <w:rFonts w:hint="eastAsia" w:ascii="宋体" w:hAnsi="宋体" w:cs="宋体"/>
          <w:b/>
          <w:bCs/>
        </w:rPr>
        <w:t>1.确认磋商文件</w:t>
      </w:r>
    </w:p>
    <w:p>
      <w:pPr>
        <w:spacing w:line="360" w:lineRule="auto"/>
        <w:ind w:firstLine="420" w:firstLineChars="175"/>
        <w:rPr>
          <w:rFonts w:ascii="宋体" w:hAnsi="宋体" w:cs="宋体"/>
        </w:rPr>
      </w:pPr>
      <w:r>
        <w:rPr>
          <w:rFonts w:hint="eastAsia" w:ascii="宋体" w:hAnsi="宋体" w:cs="宋体"/>
        </w:rPr>
        <w:t>由磋商小组确认磋商文件。</w:t>
      </w:r>
    </w:p>
    <w:p>
      <w:pPr>
        <w:spacing w:line="360" w:lineRule="auto"/>
        <w:ind w:firstLine="422" w:firstLineChars="175"/>
        <w:rPr>
          <w:rFonts w:ascii="宋体" w:hAnsi="宋体" w:cs="宋体"/>
          <w:b/>
          <w:bCs/>
        </w:rPr>
      </w:pPr>
      <w:r>
        <w:rPr>
          <w:rFonts w:hint="eastAsia" w:ascii="宋体" w:hAnsi="宋体" w:cs="宋体"/>
          <w:b/>
          <w:bCs/>
        </w:rPr>
        <w:t>2.资格审查</w:t>
      </w:r>
    </w:p>
    <w:p>
      <w:pPr>
        <w:snapToGrid w:val="0"/>
        <w:spacing w:line="360" w:lineRule="auto"/>
        <w:ind w:firstLine="420" w:firstLineChars="175"/>
        <w:rPr>
          <w:rFonts w:ascii="宋体" w:hAnsi="宋体" w:cs="宋体"/>
        </w:rPr>
      </w:pPr>
      <w:r>
        <w:rPr>
          <w:rFonts w:hint="eastAsia" w:ascii="宋体" w:hAnsi="宋体" w:cs="宋体"/>
        </w:rPr>
        <w:t>2.1响应文件开启后，磋商小组依法对供应商的资格证明文件进行审查。</w:t>
      </w:r>
    </w:p>
    <w:p>
      <w:pPr>
        <w:snapToGrid w:val="0"/>
        <w:spacing w:line="360" w:lineRule="auto"/>
        <w:ind w:firstLine="420" w:firstLineChars="175"/>
        <w:rPr>
          <w:rFonts w:ascii="宋体" w:hAnsi="宋体" w:cs="宋体"/>
        </w:rPr>
      </w:pPr>
      <w:r>
        <w:rPr>
          <w:rFonts w:hint="eastAsia" w:ascii="宋体" w:hAnsi="宋体" w:cs="宋体"/>
        </w:rPr>
        <w:t>注：采购人代表或者采购代理机构在资格审查结束前，对供应商进行信用查询。</w:t>
      </w:r>
    </w:p>
    <w:p>
      <w:pPr>
        <w:snapToGrid w:val="0"/>
        <w:spacing w:line="360" w:lineRule="auto"/>
        <w:ind w:firstLine="420" w:firstLineChars="175"/>
        <w:jc w:val="left"/>
        <w:rPr>
          <w:rFonts w:ascii="宋体" w:hAnsi="宋体" w:cs="宋体"/>
        </w:rPr>
      </w:pPr>
      <w:r>
        <w:rPr>
          <w:rFonts w:hint="eastAsia" w:ascii="宋体" w:hAnsi="宋体" w:cs="宋体"/>
        </w:rPr>
        <w:t>（1）查询渠道：“政采云”平台“信用中国”网站(</w:t>
      </w:r>
      <w:r>
        <w:fldChar w:fldCharType="begin"/>
      </w:r>
      <w:r>
        <w:instrText xml:space="preserve"> HYPERLINK "http://www.creditchina.gov.cn" </w:instrText>
      </w:r>
      <w:r>
        <w:fldChar w:fldCharType="separate"/>
      </w:r>
      <w:r>
        <w:rPr>
          <w:rStyle w:val="30"/>
          <w:rFonts w:hint="eastAsia" w:ascii="宋体" w:hAnsi="宋体" w:cs="宋体"/>
          <w:color w:val="auto"/>
        </w:rPr>
        <w:t>www.creditchina.gov.cn</w:t>
      </w:r>
      <w:r>
        <w:rPr>
          <w:rStyle w:val="30"/>
          <w:rFonts w:hint="eastAsia" w:ascii="宋体" w:hAnsi="宋体" w:cs="宋体"/>
          <w:color w:val="auto"/>
        </w:rPr>
        <w:fldChar w:fldCharType="end"/>
      </w:r>
      <w:r>
        <w:rPr>
          <w:rFonts w:hint="eastAsia" w:ascii="宋体" w:hAnsi="宋体" w:cs="宋体"/>
        </w:rPr>
        <w:t>)、中国政府采购网(</w:t>
      </w:r>
      <w:r>
        <w:fldChar w:fldCharType="begin"/>
      </w:r>
      <w:r>
        <w:instrText xml:space="preserve"> HYPERLINK "http://www.ccgp.gov.cn" </w:instrText>
      </w:r>
      <w:r>
        <w:fldChar w:fldCharType="separate"/>
      </w:r>
      <w:r>
        <w:rPr>
          <w:rStyle w:val="30"/>
          <w:rFonts w:hint="eastAsia" w:ascii="宋体" w:hAnsi="宋体" w:cs="宋体"/>
          <w:color w:val="auto"/>
        </w:rPr>
        <w:t>www.ccgp.gov.cn</w:t>
      </w:r>
      <w:r>
        <w:rPr>
          <w:rStyle w:val="30"/>
          <w:rFonts w:hint="eastAsia" w:ascii="宋体" w:hAnsi="宋体" w:cs="宋体"/>
          <w:color w:val="auto"/>
        </w:rPr>
        <w:fldChar w:fldCharType="end"/>
      </w:r>
      <w:r>
        <w:rPr>
          <w:rFonts w:hint="eastAsia" w:ascii="宋体" w:hAnsi="宋体" w:cs="宋体"/>
        </w:rPr>
        <w:t>)链接入口。</w:t>
      </w:r>
    </w:p>
    <w:p>
      <w:pPr>
        <w:snapToGrid w:val="0"/>
        <w:spacing w:line="360" w:lineRule="auto"/>
        <w:ind w:firstLine="420" w:firstLineChars="175"/>
        <w:rPr>
          <w:rFonts w:ascii="宋体" w:hAnsi="宋体" w:cs="宋体"/>
        </w:rPr>
      </w:pPr>
      <w:r>
        <w:rPr>
          <w:rFonts w:hint="eastAsia" w:ascii="宋体" w:hAnsi="宋体" w:cs="宋体"/>
        </w:rPr>
        <w:t>（2）信用查询截止时点：资格审查结束前。</w:t>
      </w:r>
    </w:p>
    <w:p>
      <w:pPr>
        <w:snapToGrid w:val="0"/>
        <w:spacing w:line="360" w:lineRule="auto"/>
        <w:ind w:firstLine="420" w:firstLineChars="175"/>
        <w:rPr>
          <w:rFonts w:ascii="宋体" w:hAnsi="宋体" w:cs="宋体"/>
        </w:rPr>
      </w:pPr>
      <w:r>
        <w:rPr>
          <w:rFonts w:hint="eastAsia" w:ascii="宋体" w:hAnsi="宋体" w:cs="宋体"/>
        </w:rPr>
        <w:t>查询记录和证据留存方式：在查询网站中直接打印查询记录，截图另存为电子文档作为评审资料保存。</w:t>
      </w:r>
    </w:p>
    <w:p>
      <w:pPr>
        <w:spacing w:line="360" w:lineRule="auto"/>
        <w:ind w:firstLine="420" w:firstLineChars="175"/>
        <w:rPr>
          <w:rFonts w:ascii="宋体" w:hAnsi="宋体" w:cs="宋体"/>
        </w:rPr>
      </w:pPr>
      <w:r>
        <w:rPr>
          <w:rFonts w:hint="eastAsia" w:ascii="宋体" w:hAnsi="宋体" w:cs="宋体"/>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175"/>
        <w:rPr>
          <w:rFonts w:ascii="宋体" w:hAnsi="宋体" w:cs="宋体"/>
        </w:rPr>
      </w:pPr>
      <w:r>
        <w:rPr>
          <w:rFonts w:hint="eastAsia" w:ascii="宋体" w:hAnsi="宋体" w:cs="宋体"/>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175"/>
        <w:rPr>
          <w:rFonts w:ascii="宋体" w:hAnsi="宋体" w:cs="宋体"/>
        </w:rPr>
      </w:pPr>
      <w:r>
        <w:rPr>
          <w:rFonts w:hint="eastAsia" w:ascii="宋体" w:hAnsi="宋体" w:cs="宋体"/>
        </w:rPr>
        <w:t>2.3供应商有下列情形之一的，资格审查不通过，其响应文件按无效响应处理：</w:t>
      </w:r>
    </w:p>
    <w:p>
      <w:pPr>
        <w:snapToGrid w:val="0"/>
        <w:spacing w:line="360" w:lineRule="auto"/>
        <w:ind w:firstLine="420" w:firstLineChars="175"/>
        <w:rPr>
          <w:rFonts w:ascii="宋体" w:hAnsi="宋体" w:cs="宋体"/>
        </w:rPr>
      </w:pPr>
      <w:r>
        <w:rPr>
          <w:rFonts w:hint="eastAsia" w:ascii="宋体" w:hAnsi="宋体" w:cs="宋体"/>
        </w:rPr>
        <w:t>（1）不具备磋商文件中规定的资格要求的；</w:t>
      </w:r>
    </w:p>
    <w:p>
      <w:pPr>
        <w:spacing w:line="360" w:lineRule="auto"/>
        <w:ind w:firstLine="420" w:firstLineChars="175"/>
        <w:rPr>
          <w:rFonts w:ascii="宋体" w:hAnsi="宋体" w:cs="宋体"/>
        </w:rPr>
      </w:pPr>
      <w:r>
        <w:rPr>
          <w:rFonts w:hint="eastAsia" w:ascii="宋体" w:hAnsi="宋体" w:cs="宋体"/>
        </w:rPr>
        <w:t>（2）响应文件未提供任一项“供应商须知前附表”资格证明文件规定的“必须提供”的文件资料的；</w:t>
      </w:r>
    </w:p>
    <w:p>
      <w:pPr>
        <w:spacing w:line="360" w:lineRule="auto"/>
        <w:ind w:firstLine="420" w:firstLineChars="175"/>
        <w:rPr>
          <w:rFonts w:ascii="宋体" w:hAnsi="宋体" w:cs="宋体"/>
        </w:rPr>
      </w:pPr>
      <w:r>
        <w:rPr>
          <w:rFonts w:hint="eastAsia" w:ascii="宋体" w:hAnsi="宋体" w:cs="宋体"/>
        </w:rPr>
        <w:t>（3）响应文件提供的资格证明文件出现任一项不符合“供应商须知前附表”资格证明文件规定的“必须提供”的文件资料要求或者无效的。</w:t>
      </w:r>
    </w:p>
    <w:p>
      <w:pPr>
        <w:spacing w:line="360" w:lineRule="auto"/>
        <w:ind w:firstLine="420" w:firstLineChars="175"/>
        <w:rPr>
          <w:rFonts w:ascii="宋体" w:hAnsi="宋体" w:cs="宋体"/>
          <w:b w:val="0"/>
          <w:bCs w:val="0"/>
        </w:rPr>
      </w:pPr>
      <w:bookmarkStart w:id="86" w:name="_Hlk68601553"/>
      <w:r>
        <w:rPr>
          <w:rFonts w:hint="eastAsia" w:ascii="宋体" w:hAnsi="宋体" w:cs="宋体"/>
          <w:b w:val="0"/>
          <w:bCs w:val="0"/>
        </w:rPr>
        <w:t>（4）同一合同项下的不同供应商，单位负责人为同一人或者存在直接控股、管理关系的；为本项目提供过整体设计、规范编制或者项目管理、监理、检测等服务的。</w:t>
      </w:r>
      <w:bookmarkEnd w:id="86"/>
    </w:p>
    <w:p>
      <w:pPr>
        <w:spacing w:line="360" w:lineRule="auto"/>
        <w:ind w:firstLine="420" w:firstLineChars="175"/>
        <w:rPr>
          <w:rFonts w:ascii="宋体" w:hAnsi="宋体" w:cs="宋体"/>
          <w:b w:val="0"/>
          <w:bCs w:val="0"/>
        </w:rPr>
      </w:pPr>
      <w:r>
        <w:rPr>
          <w:rFonts w:hint="eastAsia" w:ascii="宋体" w:hAnsi="宋体" w:cs="宋体"/>
          <w:b w:val="0"/>
          <w:bCs w:val="0"/>
        </w:rPr>
        <w:t>2.4通过资格审查的合格供应商不足3家的，不得进入符合性审查环节，采购人或者采购代理机构应当重新开展采购活动。</w:t>
      </w:r>
    </w:p>
    <w:p>
      <w:pPr>
        <w:spacing w:line="360" w:lineRule="auto"/>
        <w:ind w:firstLine="422" w:firstLineChars="175"/>
        <w:rPr>
          <w:rFonts w:ascii="宋体" w:hAnsi="宋体" w:cs="宋体"/>
          <w:b/>
          <w:bCs/>
        </w:rPr>
      </w:pPr>
      <w:r>
        <w:rPr>
          <w:rFonts w:hint="eastAsia" w:ascii="宋体" w:hAnsi="宋体" w:cs="宋体"/>
          <w:b/>
          <w:bCs/>
        </w:rPr>
        <w:t>3.符合性审查</w:t>
      </w:r>
    </w:p>
    <w:p>
      <w:pPr>
        <w:spacing w:line="360" w:lineRule="auto"/>
        <w:ind w:firstLine="420" w:firstLineChars="175"/>
        <w:rPr>
          <w:rFonts w:ascii="宋体" w:hAnsi="宋体" w:cs="宋体"/>
        </w:rPr>
      </w:pPr>
      <w:r>
        <w:rPr>
          <w:rFonts w:hint="eastAsia" w:ascii="宋体" w:hAnsi="宋体" w:cs="宋体"/>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175"/>
        <w:rPr>
          <w:rFonts w:ascii="宋体" w:hAnsi="宋体" w:cs="宋体"/>
        </w:rPr>
      </w:pPr>
      <w:r>
        <w:rPr>
          <w:rFonts w:hint="eastAsia" w:ascii="宋体" w:hAnsi="宋体" w:cs="宋体"/>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175"/>
        <w:rPr>
          <w:rFonts w:ascii="宋体" w:hAnsi="宋体" w:cs="宋体"/>
          <w:spacing w:val="-6"/>
        </w:rPr>
      </w:pPr>
      <w:r>
        <w:rPr>
          <w:rFonts w:hint="eastAsia" w:ascii="宋体" w:hAnsi="宋体" w:cs="宋体"/>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rPr>
        <w:t>。供应商为自然人的，必须由本人签字并附身份证明。</w:t>
      </w:r>
    </w:p>
    <w:p>
      <w:pPr>
        <w:spacing w:line="360" w:lineRule="auto"/>
        <w:ind w:firstLine="399" w:firstLineChars="175"/>
        <w:rPr>
          <w:rFonts w:ascii="宋体" w:hAnsi="宋体" w:cs="宋体"/>
        </w:rPr>
      </w:pPr>
      <w:r>
        <w:rPr>
          <w:rFonts w:hint="eastAsia" w:ascii="宋体" w:hAnsi="宋体" w:cs="宋体"/>
          <w:spacing w:val="-6"/>
        </w:rPr>
        <w:t>3.4</w:t>
      </w:r>
      <w:r>
        <w:rPr>
          <w:rFonts w:hint="eastAsia" w:ascii="宋体" w:hAnsi="宋体" w:cs="宋体"/>
        </w:rPr>
        <w:t xml:space="preserve">首次响应文件报价出现前后不一致的，按照下列规定修正： </w:t>
      </w:r>
    </w:p>
    <w:p>
      <w:pPr>
        <w:spacing w:line="360" w:lineRule="auto"/>
        <w:ind w:firstLine="420" w:firstLineChars="175"/>
        <w:rPr>
          <w:rFonts w:ascii="宋体" w:hAnsi="宋体" w:cs="宋体"/>
        </w:rPr>
      </w:pPr>
      <w:r>
        <w:rPr>
          <w:rFonts w:hint="eastAsia" w:ascii="宋体" w:hAnsi="宋体" w:cs="宋体"/>
        </w:rPr>
        <w:t>（1）响应文件中报价表内容与响应文件中相应内容不一致的，以报价表为准；</w:t>
      </w:r>
    </w:p>
    <w:p>
      <w:pPr>
        <w:spacing w:line="360" w:lineRule="auto"/>
        <w:ind w:firstLine="420" w:firstLineChars="175"/>
        <w:rPr>
          <w:rFonts w:ascii="宋体" w:hAnsi="宋体" w:cs="宋体"/>
        </w:rPr>
      </w:pPr>
      <w:r>
        <w:rPr>
          <w:rFonts w:hint="eastAsia" w:ascii="宋体" w:hAnsi="宋体" w:cs="宋体"/>
        </w:rPr>
        <w:t>（2）大写金额和小写金额不一致的，以大写金额为准；</w:t>
      </w:r>
    </w:p>
    <w:p>
      <w:pPr>
        <w:spacing w:line="360" w:lineRule="auto"/>
        <w:ind w:firstLine="420" w:firstLineChars="175"/>
        <w:rPr>
          <w:rFonts w:ascii="宋体" w:hAnsi="宋体" w:cs="宋体"/>
        </w:rPr>
      </w:pPr>
      <w:r>
        <w:rPr>
          <w:rFonts w:hint="eastAsia" w:ascii="宋体" w:hAnsi="宋体" w:cs="宋体"/>
        </w:rPr>
        <w:t>（3）单价金额小数点或者百分比有明显错位的，以报价表的总价为准，并修改单价；</w:t>
      </w:r>
    </w:p>
    <w:p>
      <w:pPr>
        <w:spacing w:line="360" w:lineRule="auto"/>
        <w:ind w:firstLine="420" w:firstLineChars="175"/>
        <w:rPr>
          <w:rFonts w:ascii="宋体" w:hAnsi="宋体" w:cs="宋体"/>
        </w:rPr>
      </w:pPr>
      <w:r>
        <w:rPr>
          <w:rFonts w:hint="eastAsia" w:ascii="宋体" w:hAnsi="宋体" w:cs="宋体"/>
        </w:rPr>
        <w:t>（4）总价金额与按单价汇总金额不一致的，以单价金额计算结果为准。</w:t>
      </w:r>
    </w:p>
    <w:p>
      <w:pPr>
        <w:spacing w:line="360" w:lineRule="auto"/>
        <w:ind w:firstLine="420" w:firstLineChars="175"/>
        <w:rPr>
          <w:rFonts w:ascii="宋体" w:hAnsi="宋体" w:cs="宋体"/>
        </w:rPr>
      </w:pPr>
      <w:r>
        <w:rPr>
          <w:rFonts w:hint="eastAsia" w:ascii="宋体" w:hAnsi="宋体" w:cs="宋体"/>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175"/>
        <w:rPr>
          <w:rFonts w:ascii="宋体" w:hAnsi="宋体" w:cs="宋体"/>
        </w:rPr>
      </w:pPr>
      <w:r>
        <w:rPr>
          <w:rFonts w:hint="eastAsia" w:ascii="宋体" w:hAnsi="宋体" w:cs="宋体"/>
        </w:rPr>
        <w:t>3.5报价、商务资信、技术评审</w:t>
      </w:r>
    </w:p>
    <w:p>
      <w:pPr>
        <w:spacing w:line="360" w:lineRule="auto"/>
        <w:ind w:firstLine="420" w:firstLineChars="175"/>
        <w:rPr>
          <w:rFonts w:ascii="宋体" w:hAnsi="宋体" w:cs="宋体"/>
        </w:rPr>
      </w:pPr>
      <w:r>
        <w:rPr>
          <w:rFonts w:hint="eastAsia" w:ascii="宋体" w:hAnsi="宋体" w:cs="宋体"/>
        </w:rPr>
        <w:t>在评审时，如发现下列情形之一的，将被视为响应文件无效处理：</w:t>
      </w:r>
    </w:p>
    <w:p>
      <w:pPr>
        <w:spacing w:line="360" w:lineRule="auto"/>
        <w:ind w:firstLine="420" w:firstLineChars="175"/>
        <w:rPr>
          <w:rFonts w:ascii="宋体" w:hAnsi="宋体" w:cs="宋体"/>
        </w:rPr>
      </w:pPr>
      <w:r>
        <w:rPr>
          <w:rFonts w:hint="eastAsia" w:ascii="宋体" w:hAnsi="宋体" w:cs="宋体"/>
        </w:rPr>
        <w:t>（1）报价评审</w:t>
      </w:r>
    </w:p>
    <w:p>
      <w:pPr>
        <w:spacing w:line="360" w:lineRule="auto"/>
        <w:ind w:firstLine="420" w:firstLineChars="175"/>
        <w:rPr>
          <w:rFonts w:ascii="宋体" w:hAnsi="宋体" w:cs="宋体"/>
        </w:rPr>
      </w:pPr>
      <w:r>
        <w:rPr>
          <w:rFonts w:hint="eastAsia" w:ascii="宋体" w:hAnsi="宋体" w:cs="宋体"/>
        </w:rPr>
        <w:t>1）响应文件未提供“供应商须知”报价文件中规定的“响应报价表”；</w:t>
      </w:r>
    </w:p>
    <w:p>
      <w:pPr>
        <w:spacing w:line="360" w:lineRule="auto"/>
        <w:ind w:firstLine="420" w:firstLineChars="175"/>
        <w:rPr>
          <w:rFonts w:ascii="宋体" w:hAnsi="宋体" w:cs="宋体"/>
        </w:rPr>
      </w:pPr>
      <w:r>
        <w:rPr>
          <w:rFonts w:hint="eastAsia" w:ascii="宋体" w:hAnsi="宋体" w:cs="宋体"/>
        </w:rPr>
        <w:t>2）未采用人民币报价或者未按照磋商文件标明的币种报价；</w:t>
      </w:r>
    </w:p>
    <w:p>
      <w:pPr>
        <w:spacing w:line="360" w:lineRule="auto"/>
        <w:ind w:firstLine="420" w:firstLineChars="175"/>
        <w:rPr>
          <w:rFonts w:ascii="宋体" w:hAnsi="宋体" w:cs="宋体"/>
        </w:rPr>
      </w:pPr>
      <w:r>
        <w:rPr>
          <w:rFonts w:hint="eastAsia" w:ascii="宋体" w:hAnsi="宋体" w:cs="宋体"/>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175"/>
        <w:rPr>
          <w:rFonts w:ascii="宋体" w:hAnsi="宋体" w:cs="宋体"/>
        </w:rPr>
      </w:pPr>
      <w:r>
        <w:rPr>
          <w:rFonts w:hint="eastAsia" w:ascii="宋体" w:hAnsi="宋体" w:cs="宋体"/>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175"/>
        <w:rPr>
          <w:rFonts w:ascii="宋体" w:hAnsi="宋体" w:cs="宋体"/>
        </w:rPr>
      </w:pPr>
      <w:r>
        <w:rPr>
          <w:rFonts w:hint="eastAsia" w:ascii="宋体" w:hAnsi="宋体" w:cs="宋体"/>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175"/>
        <w:rPr>
          <w:rFonts w:ascii="宋体" w:hAnsi="宋体" w:cs="宋体"/>
        </w:rPr>
      </w:pPr>
      <w:r>
        <w:rPr>
          <w:rFonts w:hint="eastAsia" w:ascii="宋体" w:hAnsi="宋体" w:cs="宋体"/>
        </w:rPr>
        <w:t>6）响应文件响应的标的数量及单位与竞争性磋商采购文件要求实质性不一致的。</w:t>
      </w:r>
    </w:p>
    <w:p>
      <w:pPr>
        <w:spacing w:line="360" w:lineRule="auto"/>
        <w:ind w:firstLine="420" w:firstLineChars="175"/>
        <w:rPr>
          <w:rFonts w:ascii="宋体" w:hAnsi="宋体" w:cs="宋体"/>
        </w:rPr>
      </w:pPr>
      <w:r>
        <w:rPr>
          <w:rFonts w:hint="eastAsia" w:ascii="宋体" w:hAnsi="宋体" w:cs="宋体"/>
        </w:rPr>
        <w:t>（2）商务资信评审</w:t>
      </w:r>
    </w:p>
    <w:p>
      <w:pPr>
        <w:spacing w:line="360" w:lineRule="auto"/>
        <w:ind w:firstLine="420" w:firstLineChars="175"/>
        <w:rPr>
          <w:rFonts w:ascii="宋体" w:hAnsi="宋体" w:cs="宋体"/>
        </w:rPr>
      </w:pPr>
      <w:r>
        <w:rPr>
          <w:rFonts w:hint="eastAsia" w:ascii="宋体" w:hAnsi="宋体" w:cs="宋体"/>
        </w:rPr>
        <w:t>1）响应文件未按磋商文件要求签署、盖章；委托代理人未能出具有效身份证明或者出具的身份证明与授权委托书中的信息不符；</w:t>
      </w:r>
    </w:p>
    <w:p>
      <w:pPr>
        <w:spacing w:line="360" w:lineRule="auto"/>
        <w:ind w:firstLine="420" w:firstLineChars="175"/>
        <w:rPr>
          <w:rFonts w:ascii="宋体" w:hAnsi="宋体" w:cs="宋体"/>
        </w:rPr>
      </w:pPr>
      <w:r>
        <w:rPr>
          <w:rFonts w:hint="eastAsia" w:ascii="宋体" w:hAnsi="宋体" w:cs="宋体"/>
        </w:rPr>
        <w:t>2）响应文件未提供任一项“供应商须知”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pPr>
        <w:spacing w:line="360" w:lineRule="auto"/>
        <w:ind w:firstLine="420" w:firstLineChars="175"/>
        <w:rPr>
          <w:rFonts w:ascii="宋体" w:hAnsi="宋体" w:cs="宋体"/>
        </w:rPr>
      </w:pPr>
      <w:r>
        <w:rPr>
          <w:rFonts w:hint="eastAsia" w:ascii="宋体" w:hAnsi="宋体" w:cs="宋体"/>
        </w:rPr>
        <w:t>3）商务条款中标“▲”的条款发生负偏离的或者允许负偏离的条款数超过“供应商须知前附表”规定项数的或者标明实质性的要求发生负偏离；</w:t>
      </w:r>
    </w:p>
    <w:p>
      <w:pPr>
        <w:spacing w:line="360" w:lineRule="auto"/>
        <w:ind w:firstLine="420" w:firstLineChars="175"/>
        <w:rPr>
          <w:rFonts w:ascii="宋体" w:hAnsi="宋体" w:cs="宋体"/>
        </w:rPr>
      </w:pPr>
      <w:r>
        <w:rPr>
          <w:rFonts w:hint="eastAsia" w:ascii="宋体" w:hAnsi="宋体" w:cs="宋体"/>
        </w:rPr>
        <w:t>4）未对竞标有效期作出响应或者响应文件承诺的竞标有效期不满足磋商文件要求；</w:t>
      </w:r>
    </w:p>
    <w:p>
      <w:pPr>
        <w:spacing w:line="360" w:lineRule="auto"/>
        <w:ind w:firstLine="420" w:firstLineChars="175"/>
        <w:rPr>
          <w:rFonts w:ascii="宋体" w:hAnsi="宋体" w:cs="宋体"/>
        </w:rPr>
      </w:pPr>
      <w:r>
        <w:rPr>
          <w:rFonts w:hint="eastAsia" w:ascii="宋体" w:hAnsi="宋体" w:cs="宋体"/>
        </w:rPr>
        <w:t>5）属于“供应商须知正文”第21条“无效响应的情形”中的任一情形；</w:t>
      </w:r>
    </w:p>
    <w:p>
      <w:pPr>
        <w:spacing w:line="360" w:lineRule="auto"/>
        <w:ind w:firstLine="420" w:firstLineChars="175"/>
        <w:rPr>
          <w:rFonts w:ascii="宋体" w:hAnsi="宋体" w:cs="宋体"/>
        </w:rPr>
      </w:pPr>
      <w:r>
        <w:rPr>
          <w:rFonts w:hint="eastAsia" w:ascii="宋体" w:hAnsi="宋体" w:cs="宋体"/>
        </w:rPr>
        <w:t>6）法律、法规和磋商文件规定的其他无效情形。</w:t>
      </w:r>
    </w:p>
    <w:p>
      <w:pPr>
        <w:spacing w:line="360" w:lineRule="auto"/>
        <w:ind w:firstLine="420" w:firstLineChars="175"/>
        <w:rPr>
          <w:rFonts w:ascii="宋体" w:hAnsi="宋体" w:cs="宋体"/>
        </w:rPr>
      </w:pPr>
      <w:r>
        <w:rPr>
          <w:rFonts w:hint="eastAsia" w:ascii="宋体" w:hAnsi="宋体" w:cs="宋体"/>
        </w:rPr>
        <w:t>（3）技术评审</w:t>
      </w:r>
    </w:p>
    <w:p>
      <w:pPr>
        <w:spacing w:line="360" w:lineRule="auto"/>
        <w:ind w:firstLine="420" w:firstLineChars="175"/>
        <w:rPr>
          <w:rFonts w:ascii="宋体" w:hAnsi="宋体" w:cs="宋体"/>
        </w:rPr>
      </w:pPr>
      <w:r>
        <w:rPr>
          <w:rFonts w:hint="eastAsia" w:ascii="宋体" w:hAnsi="宋体" w:cs="宋体"/>
        </w:rPr>
        <w:t>1）技术需求允许负偏离的条款数超过“供应商须知”规定项数；</w:t>
      </w:r>
    </w:p>
    <w:p>
      <w:pPr>
        <w:spacing w:line="360" w:lineRule="auto"/>
        <w:ind w:firstLine="420" w:firstLineChars="175"/>
        <w:rPr>
          <w:rFonts w:ascii="宋体" w:hAnsi="宋体" w:cs="宋体"/>
        </w:rPr>
      </w:pPr>
      <w:r>
        <w:rPr>
          <w:rFonts w:hint="eastAsia" w:ascii="宋体" w:hAnsi="宋体" w:cs="宋体"/>
        </w:rPr>
        <w:t>2）虚假竞标，或者出现其他情形而导致被磋商小组认定无效；</w:t>
      </w:r>
    </w:p>
    <w:p>
      <w:pPr>
        <w:spacing w:line="360" w:lineRule="auto"/>
        <w:ind w:firstLine="420" w:firstLineChars="175"/>
        <w:rPr>
          <w:rFonts w:ascii="宋体" w:hAnsi="宋体" w:cs="宋体"/>
        </w:rPr>
      </w:pPr>
      <w:r>
        <w:rPr>
          <w:rFonts w:hint="eastAsia" w:ascii="宋体" w:hAnsi="宋体" w:cs="宋体"/>
        </w:rPr>
        <w:t>3）竞标技术方案不明确，磋商文件未允许但响应文件中存在一个或者一个以上备选（替代）竞标方案。</w:t>
      </w:r>
    </w:p>
    <w:p>
      <w:pPr>
        <w:spacing w:line="360" w:lineRule="auto"/>
        <w:ind w:firstLine="420" w:firstLineChars="175"/>
        <w:rPr>
          <w:rFonts w:ascii="宋体" w:hAnsi="宋体" w:cs="宋体"/>
        </w:rPr>
      </w:pPr>
      <w:r>
        <w:rPr>
          <w:rFonts w:hint="eastAsia" w:ascii="宋体" w:hAnsi="宋体" w:cs="宋体"/>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175"/>
        <w:rPr>
          <w:rFonts w:ascii="宋体" w:hAnsi="宋体" w:cs="宋体"/>
        </w:rPr>
      </w:pPr>
      <w:r>
        <w:rPr>
          <w:rFonts w:hint="eastAsia" w:ascii="宋体" w:hAnsi="宋体" w:cs="宋体"/>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22" w:firstLineChars="175"/>
        <w:rPr>
          <w:rFonts w:ascii="宋体" w:hAnsi="宋体" w:cs="宋体"/>
          <w:b/>
          <w:bCs/>
        </w:rPr>
      </w:pPr>
      <w:r>
        <w:rPr>
          <w:rFonts w:hint="eastAsia" w:ascii="宋体" w:hAnsi="宋体" w:cs="宋体"/>
          <w:b/>
          <w:bCs/>
        </w:rPr>
        <w:t>4.磋商程序</w:t>
      </w:r>
    </w:p>
    <w:p>
      <w:pPr>
        <w:spacing w:line="360" w:lineRule="auto"/>
        <w:ind w:firstLine="420" w:firstLineChars="175"/>
        <w:rPr>
          <w:rFonts w:ascii="宋体" w:hAnsi="宋体" w:cs="宋体"/>
          <w:kern w:val="0"/>
        </w:rPr>
      </w:pPr>
      <w:r>
        <w:rPr>
          <w:rFonts w:hint="eastAsia" w:ascii="宋体" w:hAnsi="宋体" w:cs="宋体"/>
          <w:kern w:val="0"/>
        </w:rPr>
        <w:t>4.1磋商小组按照“供应商须知前附表”</w:t>
      </w:r>
      <w:r>
        <w:rPr>
          <w:rFonts w:hint="eastAsia" w:ascii="宋体" w:hAnsi="宋体" w:cs="宋体"/>
        </w:rPr>
        <w:t xml:space="preserve"> </w:t>
      </w:r>
      <w:r>
        <w:rPr>
          <w:rFonts w:hint="eastAsia" w:ascii="宋体" w:hAnsi="宋体" w:cs="宋体"/>
          <w:kern w:val="0"/>
        </w:rPr>
        <w:t>确定的</w:t>
      </w:r>
      <w:r>
        <w:rPr>
          <w:rFonts w:hint="eastAsia" w:ascii="宋体" w:hAnsi="宋体" w:cs="宋体"/>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175"/>
        <w:rPr>
          <w:rFonts w:ascii="宋体" w:hAnsi="宋体" w:cs="宋体"/>
        </w:rPr>
      </w:pPr>
      <w:r>
        <w:rPr>
          <w:rFonts w:hint="eastAsia" w:ascii="宋体" w:hAnsi="宋体" w:cs="宋体"/>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175"/>
        <w:rPr>
          <w:rFonts w:ascii="宋体" w:hAnsi="宋体" w:cs="宋体"/>
        </w:rPr>
      </w:pPr>
      <w:r>
        <w:rPr>
          <w:rFonts w:hint="eastAsia" w:ascii="宋体" w:hAnsi="宋体" w:cs="宋体"/>
        </w:rPr>
        <w:t>4.3对磋商文件作出的实质性变动是磋商文件的有效组成部分，由磋商小组及时以电子澄清函形式同时通知所有参加磋商的供应商。</w:t>
      </w:r>
    </w:p>
    <w:p>
      <w:pPr>
        <w:spacing w:line="360" w:lineRule="auto"/>
        <w:ind w:firstLine="420" w:firstLineChars="175"/>
        <w:rPr>
          <w:rFonts w:ascii="宋体" w:hAnsi="宋体" w:cs="宋体"/>
        </w:rPr>
      </w:pPr>
      <w:r>
        <w:rPr>
          <w:rFonts w:hint="eastAsia" w:ascii="宋体" w:hAnsi="宋体" w:cs="宋体"/>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175"/>
        <w:rPr>
          <w:rFonts w:ascii="宋体" w:hAnsi="宋体" w:cs="宋体"/>
        </w:rPr>
      </w:pPr>
      <w:r>
        <w:rPr>
          <w:rFonts w:hint="eastAsia" w:ascii="宋体" w:hAnsi="宋体" w:cs="宋体"/>
        </w:rPr>
        <w:t>4.5磋商中，</w:t>
      </w:r>
      <w:r>
        <w:rPr>
          <w:rFonts w:hint="eastAsia" w:ascii="宋体" w:hAnsi="宋体" w:cs="宋体"/>
          <w:spacing w:val="-6"/>
        </w:rPr>
        <w:t>磋商的任何一方不得透露与磋商有关的其他供应商的技术资料、价格和其他信息。</w:t>
      </w:r>
    </w:p>
    <w:p>
      <w:pPr>
        <w:widowControl/>
        <w:tabs>
          <w:tab w:val="left" w:pos="540"/>
        </w:tabs>
        <w:spacing w:line="360" w:lineRule="auto"/>
        <w:ind w:firstLine="420" w:firstLineChars="175"/>
        <w:jc w:val="left"/>
        <w:rPr>
          <w:rFonts w:ascii="宋体" w:hAnsi="宋体" w:cs="宋体"/>
          <w:b/>
        </w:rPr>
      </w:pPr>
      <w:r>
        <w:rPr>
          <w:rFonts w:hint="eastAsia" w:ascii="宋体" w:hAnsi="宋体" w:cs="宋体"/>
        </w:rPr>
        <w:t>4.6磋商小组应对磋商过程和重要磋商内容进行记录，作为评标报告一部分，磋商小组在记录上签字确</w:t>
      </w:r>
      <w:r>
        <w:rPr>
          <w:rFonts w:hint="eastAsia" w:ascii="宋体" w:hAnsi="宋体" w:cs="宋体"/>
          <w:b w:val="0"/>
          <w:bCs w:val="0"/>
        </w:rPr>
        <w:t>认。主要内容包括：</w:t>
      </w:r>
    </w:p>
    <w:p>
      <w:pPr>
        <w:pStyle w:val="36"/>
        <w:spacing w:before="0"/>
        <w:ind w:firstLine="399" w:firstLineChars="175"/>
        <w:rPr>
          <w:rFonts w:ascii="宋体" w:hAnsi="宋体" w:cs="宋体"/>
          <w:spacing w:val="-6"/>
          <w:kern w:val="2"/>
          <w:szCs w:val="24"/>
        </w:rPr>
      </w:pPr>
      <w:r>
        <w:rPr>
          <w:rFonts w:hint="eastAsia" w:ascii="宋体" w:hAnsi="宋体" w:cs="宋体"/>
          <w:spacing w:val="-6"/>
          <w:kern w:val="2"/>
          <w:szCs w:val="24"/>
        </w:rPr>
        <w:t>（1）按照相关规定进行公示的，公示情况说明；</w:t>
      </w:r>
    </w:p>
    <w:p>
      <w:pPr>
        <w:pStyle w:val="36"/>
        <w:spacing w:before="0"/>
        <w:ind w:firstLine="399" w:firstLineChars="175"/>
        <w:rPr>
          <w:rFonts w:ascii="宋体" w:hAnsi="宋体" w:cs="宋体"/>
          <w:spacing w:val="-6"/>
          <w:kern w:val="2"/>
          <w:szCs w:val="24"/>
        </w:rPr>
      </w:pPr>
      <w:r>
        <w:rPr>
          <w:rFonts w:hint="eastAsia" w:ascii="宋体" w:hAnsi="宋体" w:cs="宋体"/>
          <w:spacing w:val="-6"/>
          <w:kern w:val="2"/>
          <w:szCs w:val="24"/>
        </w:rPr>
        <w:t>（2）磋商日期和地点，磋商人员名单；</w:t>
      </w:r>
    </w:p>
    <w:p>
      <w:pPr>
        <w:pStyle w:val="36"/>
        <w:spacing w:before="0"/>
        <w:ind w:firstLine="399" w:firstLineChars="175"/>
        <w:rPr>
          <w:rFonts w:ascii="宋体" w:hAnsi="宋体" w:cs="宋体"/>
          <w:spacing w:val="-6"/>
          <w:kern w:val="2"/>
          <w:szCs w:val="24"/>
        </w:rPr>
      </w:pPr>
      <w:r>
        <w:rPr>
          <w:rFonts w:hint="eastAsia" w:ascii="宋体" w:hAnsi="宋体" w:cs="宋体"/>
          <w:spacing w:val="-6"/>
          <w:kern w:val="2"/>
          <w:szCs w:val="24"/>
        </w:rPr>
        <w:t>（3）合同主要条款及价格商定情况。</w:t>
      </w:r>
    </w:p>
    <w:p>
      <w:pPr>
        <w:widowControl/>
        <w:tabs>
          <w:tab w:val="left" w:pos="540"/>
        </w:tabs>
        <w:spacing w:line="360" w:lineRule="auto"/>
        <w:ind w:firstLine="420" w:firstLineChars="175"/>
        <w:jc w:val="left"/>
        <w:rPr>
          <w:rFonts w:ascii="宋体" w:hAnsi="宋体" w:cs="宋体"/>
        </w:rPr>
      </w:pPr>
      <w:r>
        <w:rPr>
          <w:rFonts w:hint="eastAsia" w:ascii="宋体" w:hAnsi="宋体" w:cs="宋体"/>
        </w:rPr>
        <w:t>4.7磋商过程中重新提交的响应文件，供应商可以在开启前补充、修改。</w:t>
      </w:r>
    </w:p>
    <w:p>
      <w:pPr>
        <w:tabs>
          <w:tab w:val="left" w:pos="2835"/>
        </w:tabs>
        <w:spacing w:line="360" w:lineRule="auto"/>
        <w:ind w:firstLine="420" w:firstLineChars="175"/>
        <w:rPr>
          <w:rFonts w:ascii="宋体" w:hAnsi="宋体" w:cs="宋体"/>
        </w:rPr>
      </w:pPr>
      <w:r>
        <w:rPr>
          <w:rFonts w:hint="eastAsia" w:ascii="宋体" w:hAnsi="宋体" w:cs="宋体"/>
        </w:rPr>
        <w:t>4.8对磋商过程提交的响应文件进行有效性、完整性和响应程度审查，通过审查的合格供应商不足3家的，采购人或者采购代理机构应当重新开展采购活动。</w:t>
      </w:r>
    </w:p>
    <w:p>
      <w:pPr>
        <w:ind w:firstLine="422" w:firstLineChars="175"/>
        <w:rPr>
          <w:rFonts w:ascii="宋体" w:hAnsi="宋体" w:cs="宋体"/>
        </w:rPr>
      </w:pPr>
      <w:r>
        <w:rPr>
          <w:rFonts w:hint="eastAsia" w:ascii="宋体" w:hAnsi="宋体" w:cs="宋体"/>
          <w:b/>
          <w:bCs/>
        </w:rPr>
        <w:t>5.最后报价</w:t>
      </w:r>
    </w:p>
    <w:p>
      <w:pPr>
        <w:spacing w:line="360" w:lineRule="auto"/>
        <w:ind w:firstLine="420" w:firstLineChars="175"/>
        <w:rPr>
          <w:rFonts w:ascii="宋体" w:hAnsi="宋体" w:cs="宋体"/>
        </w:rPr>
      </w:pPr>
      <w:r>
        <w:rPr>
          <w:rFonts w:hint="eastAsia" w:ascii="宋体" w:hAnsi="宋体" w:cs="宋体"/>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175"/>
        <w:rPr>
          <w:rFonts w:ascii="宋体" w:hAnsi="宋体" w:cs="宋体"/>
        </w:rPr>
      </w:pPr>
      <w:r>
        <w:rPr>
          <w:rFonts w:hint="eastAsia" w:ascii="宋体" w:hAnsi="宋体" w:cs="宋体"/>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175"/>
        <w:rPr>
          <w:rFonts w:ascii="宋体" w:hAnsi="宋体" w:cs="宋体"/>
        </w:rPr>
      </w:pPr>
      <w:r>
        <w:rPr>
          <w:rFonts w:hint="eastAsia" w:ascii="宋体" w:hAnsi="宋体" w:cs="宋体"/>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175"/>
        <w:rPr>
          <w:rFonts w:ascii="宋体" w:hAnsi="宋体" w:cs="宋体"/>
        </w:rPr>
      </w:pPr>
      <w:r>
        <w:rPr>
          <w:rFonts w:hint="eastAsia" w:ascii="宋体" w:hAnsi="宋体" w:cs="宋体"/>
        </w:rPr>
        <w:t>5.4已经提交响应文件的供应商，在提交最后报价之前，可以根据磋商情况退出磋商，退出磋商的供应商的响应文件按无效响应处理。</w:t>
      </w:r>
    </w:p>
    <w:p>
      <w:pPr>
        <w:spacing w:line="360" w:lineRule="auto"/>
        <w:ind w:firstLine="420" w:firstLineChars="175"/>
        <w:rPr>
          <w:rFonts w:ascii="宋体" w:hAnsi="宋体" w:cs="宋体"/>
        </w:rPr>
      </w:pPr>
      <w:r>
        <w:rPr>
          <w:rFonts w:hint="eastAsia" w:ascii="宋体" w:hAnsi="宋体" w:cs="宋体"/>
        </w:rPr>
        <w:t>5.5供应商未在规定时间内提交最后报价的，视同退出磋商。</w:t>
      </w:r>
    </w:p>
    <w:p>
      <w:pPr>
        <w:spacing w:line="360" w:lineRule="auto"/>
        <w:ind w:firstLine="420" w:firstLineChars="175"/>
        <w:rPr>
          <w:rFonts w:ascii="宋体" w:hAnsi="宋体" w:cs="宋体"/>
        </w:rPr>
      </w:pPr>
      <w:r>
        <w:rPr>
          <w:rFonts w:hint="eastAsia" w:ascii="宋体" w:hAnsi="宋体" w:cs="宋体"/>
        </w:rPr>
        <w:t>5.6磋商小组收齐某一分标最后报价后统一开启，磋商小组对最后报价进行有效性、完整性和响应程度的审查。</w:t>
      </w:r>
    </w:p>
    <w:p>
      <w:pPr>
        <w:spacing w:line="360" w:lineRule="auto"/>
        <w:ind w:firstLine="420" w:firstLineChars="175"/>
        <w:rPr>
          <w:rFonts w:ascii="宋体" w:hAnsi="宋体" w:cs="宋体"/>
        </w:rPr>
      </w:pPr>
      <w:r>
        <w:rPr>
          <w:rFonts w:hint="eastAsia" w:ascii="宋体" w:hAnsi="宋体" w:cs="宋体"/>
        </w:rPr>
        <w:t xml:space="preserve">5.7最终响应文件的报价出现前后不一致的，按照本章第3.4条的规定修正。 </w:t>
      </w:r>
    </w:p>
    <w:p>
      <w:pPr>
        <w:spacing w:line="360" w:lineRule="auto"/>
        <w:ind w:firstLine="420" w:firstLineChars="175"/>
        <w:rPr>
          <w:rFonts w:ascii="宋体" w:hAnsi="宋体" w:cs="宋体"/>
        </w:rPr>
      </w:pPr>
      <w:r>
        <w:rPr>
          <w:rFonts w:hint="eastAsia" w:ascii="宋体" w:hAnsi="宋体" w:cs="宋体"/>
        </w:rPr>
        <w:t>5.8修正后的最终报价出现下列情形的，按无效响应处理：</w:t>
      </w:r>
    </w:p>
    <w:p>
      <w:pPr>
        <w:spacing w:line="360" w:lineRule="auto"/>
        <w:ind w:firstLine="420" w:firstLineChars="175"/>
        <w:rPr>
          <w:rFonts w:ascii="宋体" w:hAnsi="宋体" w:cs="宋体"/>
        </w:rPr>
      </w:pPr>
      <w:r>
        <w:rPr>
          <w:rFonts w:hint="eastAsia" w:ascii="宋体" w:hAnsi="宋体" w:cs="宋体"/>
        </w:rPr>
        <w:t>（1）供应商不确认的（全流程电子化评标采取在线确认）；</w:t>
      </w:r>
    </w:p>
    <w:p>
      <w:pPr>
        <w:spacing w:line="360" w:lineRule="auto"/>
        <w:ind w:firstLine="420" w:firstLineChars="175"/>
        <w:rPr>
          <w:rFonts w:ascii="宋体" w:hAnsi="宋体" w:cs="宋体"/>
        </w:rPr>
      </w:pPr>
      <w:r>
        <w:rPr>
          <w:rFonts w:hint="eastAsia" w:ascii="宋体" w:hAnsi="宋体" w:cs="宋体"/>
        </w:rPr>
        <w:t>（2）经供应商确认修正后的响应报价（包含首次报价、最后报价）超过所竞标分标规定的采购预算金额或者最高限价的（如本项目公布了最高限价）；</w:t>
      </w:r>
    </w:p>
    <w:p>
      <w:pPr>
        <w:spacing w:line="360" w:lineRule="auto"/>
        <w:ind w:firstLine="420" w:firstLineChars="175"/>
        <w:rPr>
          <w:rFonts w:ascii="宋体" w:hAnsi="宋体" w:cs="宋体"/>
        </w:rPr>
      </w:pPr>
      <w:r>
        <w:rPr>
          <w:rFonts w:hint="eastAsia" w:ascii="宋体" w:hAnsi="宋体" w:cs="宋体"/>
        </w:rPr>
        <w:t>（3）经供应商确认修正后的响应报价（包含首次报价、最后报价）超过分项采购预算金额或者最高限价的（如本项目公布了最高限价）。</w:t>
      </w:r>
    </w:p>
    <w:p>
      <w:pPr>
        <w:spacing w:line="360" w:lineRule="auto"/>
        <w:ind w:firstLine="420" w:firstLineChars="175"/>
        <w:rPr>
          <w:rFonts w:ascii="宋体" w:hAnsi="宋体" w:cs="宋体"/>
        </w:rPr>
      </w:pPr>
      <w:r>
        <w:rPr>
          <w:rFonts w:hint="eastAsia" w:ascii="宋体" w:hAnsi="宋体" w:cs="宋体"/>
        </w:rPr>
        <w:t>5.9经供应商确认修正后的最后报价作为评审及签订合同的依据。</w:t>
      </w:r>
    </w:p>
    <w:p>
      <w:pPr>
        <w:spacing w:line="360" w:lineRule="auto"/>
        <w:ind w:firstLine="420" w:firstLineChars="175"/>
        <w:rPr>
          <w:rFonts w:ascii="宋体" w:hAnsi="宋体" w:cs="宋体"/>
        </w:rPr>
      </w:pPr>
      <w:r>
        <w:rPr>
          <w:rFonts w:hint="eastAsia" w:ascii="宋体" w:hAnsi="宋体" w:cs="宋体"/>
        </w:rPr>
        <w:t>5.10供应商出现最后报价按无效响应处理或者响应文件按无效处理时，磋商小组应当告知有关供应商。</w:t>
      </w:r>
    </w:p>
    <w:p>
      <w:pPr>
        <w:spacing w:line="360" w:lineRule="auto"/>
        <w:ind w:firstLine="420" w:firstLineChars="175"/>
        <w:rPr>
          <w:rFonts w:ascii="宋体" w:hAnsi="宋体" w:cs="宋体"/>
        </w:rPr>
      </w:pPr>
      <w:r>
        <w:rPr>
          <w:rFonts w:hint="eastAsia" w:ascii="宋体" w:hAnsi="宋体" w:cs="宋体"/>
        </w:rPr>
        <w:t>5.11最后报价结束后，磋商小组不得再与供应商进行任何形式的商谈。</w:t>
      </w:r>
    </w:p>
    <w:p>
      <w:pPr>
        <w:ind w:firstLine="422" w:firstLineChars="175"/>
        <w:rPr>
          <w:rFonts w:ascii="宋体" w:hAnsi="宋体" w:cs="宋体"/>
          <w:b/>
          <w:bCs/>
        </w:rPr>
      </w:pPr>
      <w:r>
        <w:rPr>
          <w:rFonts w:hint="eastAsia" w:ascii="宋体" w:hAnsi="宋体" w:cs="宋体"/>
          <w:b/>
          <w:bCs/>
        </w:rPr>
        <w:t>6.比较与评价</w:t>
      </w:r>
    </w:p>
    <w:p>
      <w:pPr>
        <w:spacing w:line="360" w:lineRule="auto"/>
        <w:ind w:firstLine="420" w:firstLineChars="175"/>
        <w:rPr>
          <w:rFonts w:ascii="宋体" w:hAnsi="宋体" w:cs="宋体"/>
        </w:rPr>
      </w:pPr>
      <w:r>
        <w:rPr>
          <w:rFonts w:hint="eastAsia" w:ascii="宋体" w:hAnsi="宋体" w:cs="宋体"/>
        </w:rPr>
        <w:t>6.1评审方法：综合评分法。</w:t>
      </w:r>
    </w:p>
    <w:p>
      <w:pPr>
        <w:spacing w:line="360" w:lineRule="auto"/>
        <w:ind w:firstLine="420" w:firstLineChars="175"/>
        <w:rPr>
          <w:rFonts w:ascii="宋体" w:hAnsi="宋体" w:cs="宋体"/>
        </w:rPr>
      </w:pPr>
      <w:r>
        <w:rPr>
          <w:rFonts w:hint="eastAsia" w:ascii="宋体" w:hAnsi="宋体" w:cs="宋体"/>
        </w:rPr>
        <w:t>6.2经磋商确定最终采购需求和提交最后报价的供应商后，由磋商小组采用综合评分法对提交最后报价的供应商的响应文件和最后报价进行综合评分。</w:t>
      </w:r>
    </w:p>
    <w:p>
      <w:pPr>
        <w:spacing w:line="360" w:lineRule="auto"/>
        <w:ind w:firstLine="420" w:firstLineChars="175"/>
        <w:rPr>
          <w:rFonts w:ascii="宋体" w:hAnsi="宋体" w:cs="宋体"/>
        </w:rPr>
      </w:pPr>
      <w:r>
        <w:rPr>
          <w:rFonts w:hint="eastAsia" w:ascii="宋体" w:hAnsi="宋体" w:cs="宋体"/>
        </w:rPr>
        <w:t>6.3评审时，磋商小组各成员应当独立对每个有效响应的文件进行评价、打分，然后汇总每个供应商每项评分因素的得分。</w:t>
      </w:r>
    </w:p>
    <w:p>
      <w:pPr>
        <w:spacing w:line="360" w:lineRule="auto"/>
        <w:ind w:firstLine="420" w:firstLineChars="175"/>
        <w:rPr>
          <w:rFonts w:ascii="宋体" w:hAnsi="宋体" w:cs="宋体"/>
        </w:rPr>
      </w:pPr>
      <w:r>
        <w:rPr>
          <w:rFonts w:hint="eastAsia" w:ascii="宋体" w:hAnsi="宋体" w:cs="宋体"/>
        </w:rPr>
        <w:t>（1）磋商小组按照磋商文件中规定的评审标准计算各供应商的报价得分。项目评审过程中，不得去掉最后报价中的最高报价和最低报价。</w:t>
      </w:r>
    </w:p>
    <w:p>
      <w:pPr>
        <w:spacing w:line="360" w:lineRule="auto"/>
        <w:ind w:firstLine="420" w:firstLineChars="175"/>
        <w:rPr>
          <w:rFonts w:ascii="宋体" w:hAnsi="宋体" w:cs="宋体"/>
        </w:rPr>
      </w:pPr>
      <w:r>
        <w:rPr>
          <w:rFonts w:hint="eastAsia" w:ascii="宋体" w:hAnsi="宋体" w:cs="宋体"/>
        </w:rPr>
        <w:t>（2）各供应商的得分为磋商小组所有成员的有效评分的算术平均数。</w:t>
      </w:r>
    </w:p>
    <w:p>
      <w:pPr>
        <w:spacing w:line="360" w:lineRule="auto"/>
        <w:ind w:firstLine="420" w:firstLineChars="175"/>
        <w:rPr>
          <w:rFonts w:ascii="宋体" w:hAnsi="宋体" w:cs="宋体"/>
        </w:rPr>
      </w:pPr>
      <w:r>
        <w:rPr>
          <w:rFonts w:hint="eastAsia" w:ascii="宋体" w:hAnsi="宋体" w:cs="宋体"/>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175"/>
        <w:rPr>
          <w:rFonts w:ascii="宋体" w:hAnsi="宋体" w:cs="宋体"/>
          <w:kern w:val="0"/>
        </w:rPr>
      </w:pPr>
      <w:r>
        <w:rPr>
          <w:rFonts w:hint="eastAsia" w:ascii="宋体" w:hAnsi="宋体" w:cs="宋体"/>
        </w:rPr>
        <w:t>6.5由磋商小组根据综合评分情况，按照评审得分由高到低顺序推荐3名以上成交候选供应商，并编写评</w:t>
      </w:r>
      <w:r>
        <w:rPr>
          <w:rFonts w:hint="eastAsia" w:ascii="宋体" w:hAnsi="宋体" w:cs="宋体"/>
          <w:kern w:val="0"/>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175"/>
        <w:rPr>
          <w:rFonts w:ascii="宋体" w:hAnsi="宋体" w:cs="宋体"/>
        </w:rPr>
      </w:pPr>
      <w:r>
        <w:rPr>
          <w:rFonts w:hint="eastAsia" w:ascii="宋体" w:hAnsi="宋体" w:cs="宋体"/>
          <w:kern w:val="0"/>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22" w:firstLineChars="175"/>
        <w:rPr>
          <w:rFonts w:ascii="宋体" w:hAnsi="宋体" w:cs="宋体"/>
          <w:b/>
          <w:bCs/>
        </w:rPr>
      </w:pPr>
      <w:r>
        <w:rPr>
          <w:rFonts w:hint="eastAsia" w:ascii="宋体" w:hAnsi="宋体" w:cs="宋体"/>
          <w:b/>
          <w:bCs/>
        </w:rPr>
        <w:t>7.评审标准</w:t>
      </w:r>
    </w:p>
    <w:p>
      <w:pPr>
        <w:spacing w:line="360" w:lineRule="auto"/>
        <w:ind w:firstLine="420" w:firstLineChars="175"/>
        <w:rPr>
          <w:rFonts w:ascii="宋体" w:hAnsi="宋体" w:cs="宋体"/>
          <w:bCs/>
        </w:rPr>
      </w:pPr>
      <w:r>
        <w:rPr>
          <w:rFonts w:hint="eastAsia" w:ascii="宋体" w:hAnsi="宋体" w:cs="宋体"/>
          <w:bCs/>
        </w:rPr>
        <w:t>7.1评审依据：磋商小组将以磋商响应文件为评审依据，对供应商的报价、技术、商务等方面内容按百分制打分。（计分方法按四舍五入取至百分位）</w:t>
      </w:r>
      <w:bookmarkStart w:id="359" w:name="_GoBack"/>
      <w:bookmarkEnd w:id="359"/>
    </w:p>
    <w:p>
      <w:pPr>
        <w:spacing w:line="360" w:lineRule="auto"/>
        <w:ind w:firstLine="422" w:firstLineChars="175"/>
        <w:rPr>
          <w:rFonts w:hint="default" w:ascii="宋体" w:hAnsi="宋体" w:eastAsia="宋体" w:cs="宋体"/>
          <w:b/>
          <w:bCs w:val="0"/>
          <w:lang w:val="en-US" w:eastAsia="zh-CN"/>
        </w:rPr>
      </w:pPr>
      <w:bookmarkStart w:id="87" w:name="PO_TDCUS_ITEM_SM_TITLE_1"/>
      <w:r>
        <w:rPr>
          <w:rFonts w:hint="eastAsia" w:ascii="宋体" w:hAnsi="宋体" w:cs="宋体"/>
          <w:b/>
          <w:bCs w:val="0"/>
        </w:rPr>
        <w:t>评分方法</w:t>
      </w:r>
      <w:bookmarkEnd w:id="87"/>
      <w:r>
        <w:rPr>
          <w:rFonts w:hint="eastAsia" w:ascii="宋体" w:hAnsi="宋体" w:cs="宋体"/>
          <w:b/>
          <w:bCs w:val="0"/>
          <w:lang w:eastAsia="zh-CN"/>
        </w:rPr>
        <w:t>：</w:t>
      </w:r>
      <w:r>
        <w:rPr>
          <w:rFonts w:hint="eastAsia" w:ascii="宋体" w:hAnsi="宋体" w:cs="宋体"/>
          <w:b/>
          <w:bCs w:val="0"/>
          <w:lang w:val="en-US" w:eastAsia="zh-CN"/>
        </w:rPr>
        <w:t>综合评分法</w:t>
      </w:r>
    </w:p>
    <w:tbl>
      <w:tblPr>
        <w:tblStyle w:val="2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74"/>
        <w:gridCol w:w="609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bidi w:val="0"/>
              <w:spacing w:line="240" w:lineRule="auto"/>
              <w:jc w:val="center"/>
              <w:rPr>
                <w:rFonts w:hint="eastAsia" w:ascii="宋体" w:hAnsi="宋体" w:eastAsia="宋体" w:cs="宋体"/>
                <w:b/>
                <w:bCs/>
              </w:rPr>
            </w:pPr>
            <w:bookmarkStart w:id="88" w:name="_Toc80205935"/>
            <w:r>
              <w:rPr>
                <w:rFonts w:hint="eastAsia" w:ascii="宋体" w:hAnsi="宋体" w:eastAsia="宋体" w:cs="宋体"/>
                <w:b/>
                <w:bCs/>
              </w:rPr>
              <w:t>序号</w:t>
            </w:r>
          </w:p>
        </w:tc>
        <w:tc>
          <w:tcPr>
            <w:tcW w:w="1474" w:type="dxa"/>
            <w:noWrap w:val="0"/>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rPr>
              <w:t>评分类型</w:t>
            </w:r>
          </w:p>
        </w:tc>
        <w:tc>
          <w:tcPr>
            <w:tcW w:w="6097" w:type="dxa"/>
            <w:noWrap w:val="0"/>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rPr>
              <w:t>评分标准</w:t>
            </w:r>
          </w:p>
        </w:tc>
        <w:tc>
          <w:tcPr>
            <w:tcW w:w="1071" w:type="dxa"/>
            <w:noWrap w:val="0"/>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bidi w:val="0"/>
              <w:spacing w:line="240" w:lineRule="auto"/>
              <w:jc w:val="center"/>
              <w:rPr>
                <w:rFonts w:hint="eastAsia" w:ascii="宋体" w:hAnsi="宋体" w:eastAsia="宋体" w:cs="宋体"/>
              </w:rPr>
            </w:pPr>
            <w:r>
              <w:rPr>
                <w:rFonts w:hint="eastAsia" w:ascii="宋体" w:hAnsi="宋体" w:eastAsia="宋体" w:cs="宋体"/>
              </w:rPr>
              <w:t>1</w:t>
            </w:r>
          </w:p>
        </w:tc>
        <w:tc>
          <w:tcPr>
            <w:tcW w:w="1474" w:type="dxa"/>
            <w:noWrap w:val="0"/>
            <w:vAlign w:val="center"/>
          </w:tcPr>
          <w:p>
            <w:pPr>
              <w:bidi w:val="0"/>
              <w:spacing w:line="240" w:lineRule="auto"/>
              <w:rPr>
                <w:rFonts w:hint="eastAsia" w:ascii="宋体" w:hAnsi="宋体" w:eastAsia="宋体" w:cs="宋体"/>
              </w:rPr>
            </w:pPr>
            <w:r>
              <w:rPr>
                <w:rFonts w:hint="eastAsia" w:ascii="宋体" w:hAnsi="宋体" w:eastAsia="宋体" w:cs="宋体"/>
              </w:rPr>
              <w:t>报价分（满分10分）</w:t>
            </w:r>
          </w:p>
        </w:tc>
        <w:tc>
          <w:tcPr>
            <w:tcW w:w="6097" w:type="dxa"/>
            <w:noWrap w:val="0"/>
            <w:vAlign w:val="top"/>
          </w:tcPr>
          <w:p>
            <w:pPr>
              <w:bidi w:val="0"/>
              <w:spacing w:line="240" w:lineRule="auto"/>
              <w:ind w:firstLine="240" w:firstLineChars="100"/>
              <w:rPr>
                <w:rFonts w:hint="eastAsia" w:ascii="宋体" w:hAnsi="宋体" w:eastAsia="宋体" w:cs="宋体"/>
              </w:rPr>
            </w:pPr>
            <w:r>
              <w:rPr>
                <w:rFonts w:hint="eastAsia" w:ascii="宋体" w:hAnsi="宋体" w:eastAsia="宋体" w:cs="宋体"/>
              </w:rPr>
              <w:t>（1）评标报价为供应商的</w:t>
            </w:r>
            <w:r>
              <w:rPr>
                <w:rFonts w:hint="eastAsia" w:ascii="宋体" w:hAnsi="宋体" w:eastAsia="宋体" w:cs="宋体"/>
                <w:lang w:val="en-US" w:eastAsia="zh-CN"/>
              </w:rPr>
              <w:t>竞标</w:t>
            </w:r>
            <w:r>
              <w:rPr>
                <w:rFonts w:hint="eastAsia" w:ascii="宋体" w:hAnsi="宋体" w:eastAsia="宋体" w:cs="宋体"/>
              </w:rPr>
              <w:t>报价进行政策性扣除后的价格，评标报价只是作为评标时使用。最终</w:t>
            </w:r>
            <w:r>
              <w:rPr>
                <w:rFonts w:hint="eastAsia" w:ascii="宋体" w:hAnsi="宋体" w:eastAsia="宋体" w:cs="宋体"/>
                <w:lang w:val="en-US" w:eastAsia="zh-CN"/>
              </w:rPr>
              <w:t>成交</w:t>
            </w:r>
            <w:r>
              <w:rPr>
                <w:rFonts w:hint="eastAsia" w:ascii="宋体" w:hAnsi="宋体" w:eastAsia="宋体" w:cs="宋体"/>
              </w:rPr>
              <w:t>人的</w:t>
            </w:r>
            <w:r>
              <w:rPr>
                <w:rFonts w:hint="eastAsia" w:ascii="宋体" w:hAnsi="宋体" w:eastAsia="宋体" w:cs="宋体"/>
                <w:lang w:val="en-US" w:eastAsia="zh-CN"/>
              </w:rPr>
              <w:t>成交</w:t>
            </w:r>
            <w:r>
              <w:rPr>
                <w:rFonts w:hint="eastAsia" w:ascii="宋体" w:hAnsi="宋体" w:eastAsia="宋体" w:cs="宋体"/>
              </w:rPr>
              <w:t>金额等于</w:t>
            </w:r>
            <w:r>
              <w:rPr>
                <w:rFonts w:hint="eastAsia" w:ascii="宋体" w:hAnsi="宋体" w:eastAsia="宋体" w:cs="宋体"/>
                <w:lang w:val="en-US" w:eastAsia="zh-CN"/>
              </w:rPr>
              <w:t>竞标</w:t>
            </w:r>
            <w:r>
              <w:rPr>
                <w:rFonts w:hint="eastAsia" w:ascii="宋体" w:hAnsi="宋体" w:eastAsia="宋体" w:cs="宋体"/>
              </w:rPr>
              <w:t>报价。</w:t>
            </w:r>
          </w:p>
          <w:p>
            <w:pPr>
              <w:bidi w:val="0"/>
              <w:spacing w:line="240" w:lineRule="auto"/>
              <w:ind w:firstLine="240" w:firstLineChars="100"/>
              <w:rPr>
                <w:rFonts w:hint="eastAsia" w:ascii="宋体" w:hAnsi="宋体" w:eastAsia="宋体" w:cs="宋体"/>
              </w:rPr>
            </w:pPr>
            <w:r>
              <w:rPr>
                <w:rFonts w:hint="eastAsia" w:ascii="宋体" w:hAnsi="宋体" w:eastAsia="宋体" w:cs="宋体"/>
              </w:rPr>
              <w:t>（2）按照《政府采购促进中小企业发展管理办法》（财库〔2020〕46号）的规定，供应商为小型和微型企业，并在其</w:t>
            </w:r>
            <w:r>
              <w:rPr>
                <w:rFonts w:hint="eastAsia" w:ascii="宋体" w:hAnsi="宋体" w:eastAsia="宋体" w:cs="宋体"/>
                <w:lang w:val="en-US" w:eastAsia="zh-CN"/>
              </w:rPr>
              <w:t>响应</w:t>
            </w:r>
            <w:r>
              <w:rPr>
                <w:rFonts w:hint="eastAsia" w:ascii="宋体" w:hAnsi="宋体" w:eastAsia="宋体" w:cs="宋体"/>
              </w:rPr>
              <w:t>文件中提供《中小企业声明函》，且其服务全部由符合政策要求的小微企业承接，对其</w:t>
            </w:r>
            <w:r>
              <w:rPr>
                <w:rFonts w:hint="eastAsia" w:ascii="宋体" w:hAnsi="宋体" w:eastAsia="宋体" w:cs="宋体"/>
                <w:lang w:val="en-US" w:eastAsia="zh-CN"/>
              </w:rPr>
              <w:t>竞标</w:t>
            </w:r>
            <w:r>
              <w:rPr>
                <w:rFonts w:hint="eastAsia" w:ascii="宋体" w:hAnsi="宋体" w:eastAsia="宋体" w:cs="宋体"/>
              </w:rPr>
              <w:t>价格给予20%的扣除。</w:t>
            </w:r>
          </w:p>
          <w:p>
            <w:pPr>
              <w:bidi w:val="0"/>
              <w:spacing w:line="240" w:lineRule="auto"/>
              <w:ind w:firstLine="240" w:firstLineChars="100"/>
              <w:rPr>
                <w:rFonts w:hint="eastAsia" w:ascii="宋体" w:hAnsi="宋体" w:eastAsia="宋体" w:cs="宋体"/>
              </w:rPr>
            </w:pPr>
            <w:r>
              <w:rPr>
                <w:rFonts w:hint="eastAsia" w:ascii="宋体" w:hAnsi="宋体" w:eastAsia="宋体" w:cs="宋体"/>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bidi w:val="0"/>
              <w:spacing w:line="240" w:lineRule="auto"/>
              <w:ind w:firstLine="240" w:firstLineChars="100"/>
              <w:rPr>
                <w:rFonts w:hint="eastAsia" w:ascii="宋体" w:hAnsi="宋体" w:eastAsia="宋体" w:cs="宋体"/>
              </w:rPr>
            </w:pPr>
            <w:r>
              <w:rPr>
                <w:rFonts w:hint="eastAsia" w:ascii="宋体" w:hAnsi="宋体" w:eastAsia="宋体" w:cs="宋体"/>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bidi w:val="0"/>
              <w:spacing w:line="240" w:lineRule="auto"/>
              <w:ind w:firstLine="240" w:firstLineChars="100"/>
              <w:rPr>
                <w:rFonts w:hint="eastAsia" w:ascii="宋体" w:hAnsi="宋体" w:eastAsia="宋体" w:cs="宋体"/>
              </w:rPr>
            </w:pPr>
            <w:r>
              <w:rPr>
                <w:rFonts w:hint="eastAsia" w:ascii="宋体" w:hAnsi="宋体" w:eastAsia="宋体" w:cs="宋体"/>
              </w:rPr>
              <w:t>（5）政策性扣除计算方法</w:t>
            </w:r>
          </w:p>
          <w:p>
            <w:pPr>
              <w:bidi w:val="0"/>
              <w:spacing w:line="24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供应商被评定为监狱企业或者残疾人福利性单位或者小型和微型企业且其所</w:t>
            </w:r>
            <w:r>
              <w:rPr>
                <w:rFonts w:hint="eastAsia" w:ascii="宋体" w:hAnsi="宋体" w:eastAsia="宋体" w:cs="宋体"/>
                <w:lang w:val="en-US" w:eastAsia="zh-CN"/>
              </w:rPr>
              <w:t>竞标</w:t>
            </w:r>
            <w:r>
              <w:rPr>
                <w:rFonts w:hint="eastAsia" w:ascii="宋体" w:hAnsi="宋体" w:eastAsia="宋体" w:cs="宋体"/>
              </w:rPr>
              <w:t>全部产品为小型和微型企业产品的，该供应商的</w:t>
            </w:r>
            <w:r>
              <w:rPr>
                <w:rFonts w:hint="eastAsia" w:ascii="宋体" w:hAnsi="宋体" w:eastAsia="宋体" w:cs="宋体"/>
                <w:lang w:val="en-US" w:eastAsia="zh-CN"/>
              </w:rPr>
              <w:t>竞标</w:t>
            </w:r>
            <w:r>
              <w:rPr>
                <w:rFonts w:hint="eastAsia" w:ascii="宋体" w:hAnsi="宋体" w:eastAsia="宋体" w:cs="宋体"/>
              </w:rPr>
              <w:t>报价给予</w:t>
            </w:r>
            <w:r>
              <w:rPr>
                <w:rFonts w:hint="eastAsia" w:ascii="宋体" w:hAnsi="宋体" w:eastAsia="宋体" w:cs="宋体"/>
                <w:u w:val="single"/>
                <w:lang w:val="en-US" w:eastAsia="zh-CN"/>
              </w:rPr>
              <w:t xml:space="preserve"> </w:t>
            </w:r>
            <w:r>
              <w:rPr>
                <w:rFonts w:hint="eastAsia" w:ascii="宋体" w:hAnsi="宋体" w:eastAsia="宋体" w:cs="宋体"/>
                <w:u w:val="single"/>
              </w:rPr>
              <w:t>20%</w:t>
            </w:r>
            <w:r>
              <w:rPr>
                <w:rFonts w:hint="eastAsia" w:ascii="宋体" w:hAnsi="宋体" w:eastAsia="宋体" w:cs="宋体"/>
                <w:u w:val="single"/>
                <w:lang w:val="en-US" w:eastAsia="zh-CN"/>
              </w:rPr>
              <w:t xml:space="preserve"> </w:t>
            </w:r>
            <w:r>
              <w:rPr>
                <w:rFonts w:hint="eastAsia" w:ascii="宋体" w:hAnsi="宋体" w:eastAsia="宋体" w:cs="宋体"/>
              </w:rPr>
              <w:t>的扣除，扣除后的价格为评标报价，即评标报价=</w:t>
            </w:r>
            <w:r>
              <w:rPr>
                <w:rFonts w:hint="eastAsia" w:ascii="宋体" w:hAnsi="宋体" w:eastAsia="宋体" w:cs="宋体"/>
                <w:lang w:val="en-US" w:eastAsia="zh-CN"/>
              </w:rPr>
              <w:t>竞标</w:t>
            </w:r>
            <w:r>
              <w:rPr>
                <w:rFonts w:hint="eastAsia" w:ascii="宋体" w:hAnsi="宋体" w:eastAsia="宋体" w:cs="宋体"/>
              </w:rPr>
              <w:t>报价×（1-20%）；</w:t>
            </w:r>
            <w:bookmarkStart w:id="89" w:name="_Hlk54170416"/>
          </w:p>
          <w:p>
            <w:pPr>
              <w:bidi w:val="0"/>
              <w:spacing w:line="24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大中型企业和其他自然人、法人或者其他组织与小型、微型企业组成联合体</w:t>
            </w:r>
            <w:r>
              <w:rPr>
                <w:rFonts w:hint="eastAsia" w:ascii="宋体" w:hAnsi="宋体" w:eastAsia="宋体" w:cs="宋体"/>
                <w:lang w:val="en-US" w:eastAsia="zh-CN"/>
              </w:rPr>
              <w:t>竞标</w:t>
            </w:r>
            <w:r>
              <w:rPr>
                <w:rFonts w:hint="eastAsia" w:ascii="宋体" w:hAnsi="宋体" w:eastAsia="宋体" w:cs="宋体"/>
              </w:rPr>
              <w:t>，且联合体协议中约定小型、微型企业的协议合同金额占到联合体协议合同总金额30%以上的，联合体</w:t>
            </w:r>
            <w:r>
              <w:rPr>
                <w:rFonts w:hint="eastAsia" w:ascii="宋体" w:hAnsi="宋体" w:eastAsia="宋体" w:cs="宋体"/>
                <w:lang w:val="en-US" w:eastAsia="zh-CN"/>
              </w:rPr>
              <w:t>竞标</w:t>
            </w:r>
            <w:r>
              <w:rPr>
                <w:rFonts w:hint="eastAsia" w:ascii="宋体" w:hAnsi="宋体" w:eastAsia="宋体" w:cs="宋体"/>
              </w:rPr>
              <w:t>价给予</w:t>
            </w:r>
            <w:r>
              <w:rPr>
                <w:rFonts w:hint="eastAsia" w:ascii="宋体" w:hAnsi="宋体" w:eastAsia="宋体" w:cs="宋体"/>
                <w:u w:val="single"/>
                <w:lang w:val="en-US" w:eastAsia="zh-CN"/>
              </w:rPr>
              <w:t xml:space="preserve"> 2</w:t>
            </w:r>
            <w:r>
              <w:rPr>
                <w:rFonts w:hint="eastAsia" w:ascii="宋体" w:hAnsi="宋体" w:eastAsia="宋体" w:cs="宋体"/>
                <w:u w:val="single"/>
              </w:rPr>
              <w:t>%</w:t>
            </w:r>
            <w:r>
              <w:rPr>
                <w:rFonts w:hint="eastAsia" w:ascii="宋体" w:hAnsi="宋体" w:eastAsia="宋体" w:cs="宋体"/>
                <w:u w:val="single"/>
                <w:lang w:val="en-US" w:eastAsia="zh-CN"/>
              </w:rPr>
              <w:t xml:space="preserve"> </w:t>
            </w:r>
            <w:r>
              <w:rPr>
                <w:rFonts w:hint="eastAsia" w:ascii="宋体" w:hAnsi="宋体" w:eastAsia="宋体" w:cs="宋体"/>
              </w:rPr>
              <w:t>的扣除</w:t>
            </w:r>
            <w:bookmarkEnd w:id="89"/>
            <w:r>
              <w:rPr>
                <w:rFonts w:hint="eastAsia" w:ascii="宋体" w:hAnsi="宋体" w:eastAsia="宋体" w:cs="宋体"/>
              </w:rPr>
              <w:t>，扣除后的价格为评标价，即评标报价=</w:t>
            </w:r>
            <w:r>
              <w:rPr>
                <w:rFonts w:hint="eastAsia" w:ascii="宋体" w:hAnsi="宋体" w:eastAsia="宋体" w:cs="宋体"/>
                <w:lang w:val="en-US" w:eastAsia="zh-CN"/>
              </w:rPr>
              <w:t>竞标</w:t>
            </w:r>
            <w:r>
              <w:rPr>
                <w:rFonts w:hint="eastAsia" w:ascii="宋体" w:hAnsi="宋体" w:eastAsia="宋体" w:cs="宋体"/>
              </w:rPr>
              <w:t>报价×（1-</w:t>
            </w:r>
            <w:r>
              <w:rPr>
                <w:rFonts w:hint="eastAsia" w:ascii="宋体" w:hAnsi="宋体" w:eastAsia="宋体" w:cs="宋体"/>
                <w:lang w:val="en-US" w:eastAsia="zh-CN"/>
              </w:rPr>
              <w:t>2</w:t>
            </w:r>
            <w:r>
              <w:rPr>
                <w:rFonts w:hint="eastAsia" w:ascii="宋体" w:hAnsi="宋体" w:eastAsia="宋体" w:cs="宋体"/>
              </w:rPr>
              <w:t>%）；</w:t>
            </w:r>
          </w:p>
          <w:p>
            <w:pPr>
              <w:bidi w:val="0"/>
              <w:spacing w:line="240" w:lineRule="auto"/>
              <w:rPr>
                <w:rFonts w:hint="eastAsia" w:ascii="宋体" w:hAnsi="宋体" w:eastAsia="宋体" w:cs="宋体"/>
              </w:rPr>
            </w:pPr>
            <w:r>
              <w:rPr>
                <w:rFonts w:hint="eastAsia" w:ascii="宋体" w:hAnsi="宋体" w:eastAsia="宋体" w:cs="宋体"/>
              </w:rPr>
              <w:t>除上述情况外，评标报价=</w:t>
            </w:r>
            <w:r>
              <w:rPr>
                <w:rFonts w:hint="eastAsia" w:ascii="宋体" w:hAnsi="宋体" w:eastAsia="宋体" w:cs="宋体"/>
                <w:lang w:val="en-US" w:eastAsia="zh-CN"/>
              </w:rPr>
              <w:t>竞标</w:t>
            </w:r>
            <w:r>
              <w:rPr>
                <w:rFonts w:hint="eastAsia" w:ascii="宋体" w:hAnsi="宋体" w:eastAsia="宋体" w:cs="宋体"/>
              </w:rPr>
              <w:t>报价。</w:t>
            </w:r>
          </w:p>
          <w:p>
            <w:pPr>
              <w:bidi w:val="0"/>
              <w:spacing w:line="240" w:lineRule="auto"/>
              <w:ind w:firstLine="240" w:firstLineChars="1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满足</w:t>
            </w:r>
            <w:r>
              <w:rPr>
                <w:rFonts w:hint="eastAsia" w:ascii="宋体" w:hAnsi="宋体" w:eastAsia="宋体" w:cs="宋体"/>
                <w:lang w:val="en-US" w:eastAsia="zh-CN"/>
              </w:rPr>
              <w:t>采购</w:t>
            </w:r>
            <w:r>
              <w:rPr>
                <w:rFonts w:hint="eastAsia" w:ascii="宋体" w:hAnsi="宋体" w:eastAsia="宋体" w:cs="宋体"/>
              </w:rPr>
              <w:t>文件要求且报价最低的</w:t>
            </w:r>
            <w:r>
              <w:rPr>
                <w:rFonts w:hint="eastAsia" w:ascii="宋体" w:hAnsi="宋体" w:eastAsia="宋体" w:cs="宋体"/>
                <w:lang w:val="en-US" w:eastAsia="zh-CN"/>
              </w:rPr>
              <w:t>竞标</w:t>
            </w:r>
            <w:r>
              <w:rPr>
                <w:rFonts w:hint="eastAsia" w:ascii="宋体" w:hAnsi="宋体" w:eastAsia="宋体" w:cs="宋体"/>
              </w:rPr>
              <w:t>报价为评标基准价，其供应商的报价分为满分10分</w:t>
            </w:r>
            <w:r>
              <w:rPr>
                <w:rFonts w:hint="eastAsia" w:ascii="宋体" w:hAnsi="宋体" w:eastAsia="宋体" w:cs="宋体"/>
                <w:lang w:eastAsia="zh-CN"/>
              </w:rPr>
              <w:t>。</w:t>
            </w:r>
          </w:p>
          <w:p>
            <w:pPr>
              <w:bidi w:val="0"/>
              <w:spacing w:line="240" w:lineRule="auto"/>
              <w:ind w:firstLine="240" w:firstLineChars="1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价格分计算公式：</w:t>
            </w:r>
            <w:r>
              <w:rPr>
                <w:rFonts w:hint="eastAsia" w:ascii="宋体" w:hAnsi="宋体" w:eastAsia="宋体" w:cs="宋体"/>
                <w:lang w:val="en-US" w:eastAsia="zh-CN"/>
              </w:rPr>
              <w:t>报</w:t>
            </w:r>
            <w:r>
              <w:rPr>
                <w:rFonts w:hint="eastAsia" w:ascii="宋体" w:hAnsi="宋体" w:eastAsia="宋体" w:cs="宋体"/>
              </w:rPr>
              <w:t>价得分=（基准价/</w:t>
            </w:r>
            <w:r>
              <w:rPr>
                <w:rFonts w:hint="eastAsia" w:ascii="宋体" w:hAnsi="宋体" w:eastAsia="宋体" w:cs="宋体"/>
                <w:lang w:val="en-US" w:eastAsia="zh-CN"/>
              </w:rPr>
              <w:t>竞标</w:t>
            </w:r>
            <w:r>
              <w:rPr>
                <w:rFonts w:hint="eastAsia" w:ascii="宋体" w:hAnsi="宋体" w:eastAsia="宋体" w:cs="宋体"/>
              </w:rPr>
              <w:t>报价）×10分</w:t>
            </w:r>
            <w:r>
              <w:rPr>
                <w:rFonts w:hint="eastAsia" w:ascii="宋体" w:hAnsi="宋体" w:eastAsia="宋体" w:cs="宋体"/>
                <w:lang w:eastAsia="zh-CN"/>
              </w:rPr>
              <w:t>。</w:t>
            </w:r>
          </w:p>
        </w:tc>
        <w:tc>
          <w:tcPr>
            <w:tcW w:w="1071" w:type="dxa"/>
            <w:noWrap w:val="0"/>
            <w:vAlign w:val="center"/>
          </w:tcPr>
          <w:p>
            <w:pPr>
              <w:bidi w:val="0"/>
              <w:spacing w:line="240" w:lineRule="auto"/>
              <w:jc w:val="center"/>
              <w:rPr>
                <w:rFonts w:hint="eastAsia" w:ascii="宋体" w:hAnsi="宋体" w:eastAsia="宋体" w:cs="宋体"/>
              </w:rPr>
            </w:pPr>
            <w:r>
              <w:rPr>
                <w:rFonts w:hint="eastAsia" w:ascii="宋体" w:hAnsi="宋体" w:eastAsia="宋体" w:cs="宋体"/>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rPr>
              <w:t>2</w:t>
            </w:r>
          </w:p>
        </w:tc>
        <w:tc>
          <w:tcPr>
            <w:tcW w:w="1474" w:type="dxa"/>
            <w:noWrap w:val="0"/>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rPr>
              <w:t>商务分</w:t>
            </w:r>
          </w:p>
        </w:tc>
        <w:tc>
          <w:tcPr>
            <w:tcW w:w="7168" w:type="dxa"/>
            <w:gridSpan w:val="2"/>
            <w:noWrap w:val="0"/>
            <w:vAlign w:val="top"/>
          </w:tcPr>
          <w:p>
            <w:pPr>
              <w:bidi w:val="0"/>
              <w:spacing w:line="240" w:lineRule="auto"/>
              <w:jc w:val="center"/>
              <w:rPr>
                <w:rFonts w:hint="eastAsia" w:ascii="宋体" w:hAnsi="宋体" w:eastAsia="宋体" w:cs="宋体"/>
                <w:b/>
                <w:bCs/>
              </w:rPr>
            </w:pPr>
            <w:r>
              <w:rPr>
                <w:rFonts w:hint="eastAsia" w:ascii="宋体" w:hAnsi="宋体" w:eastAsia="宋体" w:cs="宋体"/>
                <w:b/>
                <w:bCs/>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2.1</w:t>
            </w:r>
          </w:p>
        </w:tc>
        <w:tc>
          <w:tcPr>
            <w:tcW w:w="1474"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lang w:val="zh-CN"/>
              </w:rPr>
              <w:t>履约能力分</w:t>
            </w:r>
            <w:r>
              <w:rPr>
                <w:rFonts w:hint="eastAsia" w:ascii="宋体" w:hAnsi="宋体" w:cs="宋体"/>
                <w:bCs/>
                <w:highlight w:val="none"/>
              </w:rPr>
              <w:t>（满分</w:t>
            </w:r>
            <w:r>
              <w:rPr>
                <w:rFonts w:ascii="宋体" w:hAnsi="宋体" w:cs="宋体"/>
                <w:bCs/>
                <w:highlight w:val="none"/>
              </w:rPr>
              <w:t>7</w:t>
            </w:r>
            <w:r>
              <w:rPr>
                <w:rFonts w:hint="eastAsia" w:ascii="宋体" w:hAnsi="宋体" w:cs="宋体"/>
                <w:bCs/>
                <w:highlight w:val="none"/>
              </w:rPr>
              <w:t>分）</w:t>
            </w:r>
          </w:p>
        </w:tc>
        <w:tc>
          <w:tcPr>
            <w:tcW w:w="6097" w:type="dxa"/>
            <w:noWrap w:val="0"/>
            <w:vAlign w:val="top"/>
          </w:tcPr>
          <w:p>
            <w:pPr>
              <w:snapToGrid w:val="0"/>
              <w:spacing w:line="240" w:lineRule="auto"/>
              <w:ind w:firstLine="240" w:firstLineChars="100"/>
              <w:jc w:val="left"/>
              <w:rPr>
                <w:rFonts w:ascii="宋体" w:hAnsi="宋体" w:cs="宋体"/>
                <w:highlight w:val="none"/>
              </w:rPr>
            </w:pPr>
            <w:r>
              <w:rPr>
                <w:rFonts w:hint="eastAsia" w:ascii="宋体" w:hAnsi="宋体" w:cs="宋体"/>
                <w:highlight w:val="none"/>
              </w:rPr>
              <w:t>（1）供应商或供应商用于本项目服务的设施设备厂商具有信息系统安全集成服务资质的得1分</w:t>
            </w:r>
            <w:r>
              <w:rPr>
                <w:rFonts w:hint="eastAsia" w:ascii="宋体" w:hAnsi="宋体" w:cs="宋体"/>
                <w:b/>
                <w:bCs/>
                <w:highlight w:val="none"/>
              </w:rPr>
              <w:t>（响应文件中须提供相关证明材料并加盖资质证书持有人公章）</w:t>
            </w:r>
            <w:r>
              <w:rPr>
                <w:rFonts w:hint="eastAsia" w:ascii="宋体" w:hAnsi="宋体" w:cs="宋体"/>
                <w:highlight w:val="none"/>
              </w:rPr>
              <w:t>。</w:t>
            </w:r>
          </w:p>
          <w:p>
            <w:pPr>
              <w:snapToGrid w:val="0"/>
              <w:spacing w:line="240" w:lineRule="auto"/>
              <w:ind w:firstLine="240" w:firstLineChars="100"/>
              <w:jc w:val="left"/>
              <w:rPr>
                <w:rFonts w:ascii="宋体" w:hAnsi="宋体" w:cs="宋体"/>
                <w:highlight w:val="none"/>
              </w:rPr>
            </w:pPr>
            <w:r>
              <w:rPr>
                <w:rFonts w:hint="eastAsia" w:ascii="宋体" w:hAnsi="宋体" w:cs="宋体"/>
                <w:highlight w:val="none"/>
              </w:rPr>
              <w:t>（2）供应商或供应商用于本项目服务的设施设备厂商具有ISO28000供应链安全管理体系认证证书的得1分</w:t>
            </w:r>
            <w:r>
              <w:rPr>
                <w:rFonts w:hint="eastAsia" w:ascii="宋体" w:hAnsi="宋体" w:cs="宋体"/>
                <w:b/>
                <w:bCs/>
                <w:highlight w:val="none"/>
              </w:rPr>
              <w:t>（响应文件中须提供相关证明材料并加盖资质证书持有人公章）</w:t>
            </w:r>
            <w:r>
              <w:rPr>
                <w:rFonts w:hint="eastAsia" w:ascii="宋体" w:hAnsi="宋体" w:cs="宋体"/>
                <w:highlight w:val="none"/>
              </w:rPr>
              <w:t>。</w:t>
            </w:r>
          </w:p>
          <w:p>
            <w:pPr>
              <w:snapToGrid w:val="0"/>
              <w:spacing w:line="240" w:lineRule="auto"/>
              <w:ind w:firstLine="240" w:firstLineChars="100"/>
              <w:jc w:val="left"/>
              <w:rPr>
                <w:rFonts w:hint="eastAsia" w:ascii="宋体" w:hAnsi="宋体" w:eastAsia="宋体" w:cs="宋体"/>
                <w:highlight w:val="none"/>
              </w:rPr>
            </w:pPr>
            <w:r>
              <w:rPr>
                <w:rFonts w:hint="eastAsia" w:ascii="宋体" w:hAnsi="宋体" w:cs="宋体"/>
                <w:highlight w:val="none"/>
              </w:rPr>
              <w:t>（3）供应商在项目拟投入提供运维团队人员≥4人得1分，含中级职称及以上人员≥2人得</w:t>
            </w:r>
            <w:r>
              <w:rPr>
                <w:rFonts w:ascii="宋体" w:hAnsi="宋体" w:cs="宋体"/>
                <w:highlight w:val="none"/>
              </w:rPr>
              <w:t>2</w:t>
            </w:r>
            <w:r>
              <w:rPr>
                <w:rFonts w:hint="eastAsia" w:ascii="宋体" w:hAnsi="宋体" w:cs="宋体"/>
                <w:highlight w:val="none"/>
              </w:rPr>
              <w:t>分，提供自有运营维护车辆数量≥2辆得</w:t>
            </w:r>
            <w:r>
              <w:rPr>
                <w:rFonts w:ascii="宋体" w:hAnsi="宋体" w:cs="宋体"/>
                <w:highlight w:val="none"/>
              </w:rPr>
              <w:t>2</w:t>
            </w:r>
            <w:r>
              <w:rPr>
                <w:rFonts w:hint="eastAsia" w:ascii="宋体" w:hAnsi="宋体" w:cs="宋体"/>
                <w:highlight w:val="none"/>
              </w:rPr>
              <w:t>分。</w:t>
            </w:r>
            <w:r>
              <w:rPr>
                <w:rFonts w:hint="eastAsia" w:ascii="宋体" w:hAnsi="宋体" w:cs="宋体"/>
                <w:b/>
                <w:bCs/>
                <w:highlight w:val="none"/>
              </w:rPr>
              <w:t>（响应文件中须提供人员相关职称证书及车辆照片、行驶证或租赁合同等证明材料复印件并加盖供应商公章）</w:t>
            </w:r>
          </w:p>
        </w:tc>
        <w:tc>
          <w:tcPr>
            <w:tcW w:w="1071"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0~</w:t>
            </w:r>
            <w:r>
              <w:rPr>
                <w:rFonts w:ascii="宋体" w:hAnsi="宋体" w:cs="宋体"/>
                <w:bCs/>
                <w:highlight w:val="none"/>
              </w:rPr>
              <w:t>7</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2.2</w:t>
            </w:r>
          </w:p>
        </w:tc>
        <w:tc>
          <w:tcPr>
            <w:tcW w:w="1474"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业绩分（满分4分）</w:t>
            </w:r>
          </w:p>
        </w:tc>
        <w:tc>
          <w:tcPr>
            <w:tcW w:w="6097" w:type="dxa"/>
            <w:noWrap w:val="0"/>
            <w:vAlign w:val="center"/>
          </w:tcPr>
          <w:p>
            <w:pPr>
              <w:snapToGrid w:val="0"/>
              <w:spacing w:line="240" w:lineRule="auto"/>
              <w:ind w:firstLine="480" w:firstLineChars="200"/>
              <w:rPr>
                <w:rFonts w:ascii="宋体" w:hAnsi="宋体" w:cs="宋体"/>
                <w:bCs/>
                <w:highlight w:val="none"/>
                <w:lang w:val="zh-CN"/>
              </w:rPr>
            </w:pPr>
            <w:r>
              <w:rPr>
                <w:rFonts w:hint="eastAsia" w:ascii="宋体" w:hAnsi="宋体" w:cs="宋体"/>
                <w:bCs/>
                <w:highlight w:val="none"/>
                <w:lang w:val="zh-CN"/>
              </w:rPr>
              <w:t>供应商提供20</w:t>
            </w:r>
            <w:r>
              <w:rPr>
                <w:rFonts w:hint="eastAsia" w:ascii="宋体" w:hAnsi="宋体" w:cs="宋体"/>
                <w:bCs/>
                <w:highlight w:val="none"/>
              </w:rPr>
              <w:t>20</w:t>
            </w:r>
            <w:r>
              <w:rPr>
                <w:rFonts w:hint="eastAsia" w:ascii="宋体" w:hAnsi="宋体" w:cs="宋体"/>
                <w:bCs/>
                <w:highlight w:val="none"/>
                <w:lang w:val="zh-CN"/>
              </w:rPr>
              <w:t>年</w:t>
            </w:r>
            <w:r>
              <w:rPr>
                <w:rFonts w:hint="eastAsia" w:ascii="宋体" w:hAnsi="宋体" w:cs="宋体"/>
                <w:bCs/>
                <w:highlight w:val="none"/>
              </w:rPr>
              <w:t>1月份</w:t>
            </w:r>
            <w:r>
              <w:rPr>
                <w:rFonts w:hint="eastAsia" w:ascii="宋体" w:hAnsi="宋体" w:cs="宋体"/>
                <w:bCs/>
                <w:highlight w:val="none"/>
                <w:lang w:val="zh-CN"/>
              </w:rPr>
              <w:t>以来具有同类服务业绩的证明材料扫描件，并加盖公章。</w:t>
            </w:r>
            <w:r>
              <w:rPr>
                <w:rFonts w:hint="eastAsia" w:hAnsi="宋体" w:cs="宋体"/>
                <w:sz w:val="24"/>
                <w:szCs w:val="24"/>
                <w:highlight w:val="none"/>
              </w:rPr>
              <w:t>每有一项</w:t>
            </w:r>
            <w:r>
              <w:rPr>
                <w:rFonts w:hint="eastAsia" w:ascii="宋体" w:hAnsi="宋体" w:cs="宋体"/>
                <w:bCs/>
                <w:highlight w:val="none"/>
                <w:lang w:val="zh-CN"/>
              </w:rPr>
              <w:t>得</w:t>
            </w:r>
            <w:r>
              <w:rPr>
                <w:rFonts w:hint="eastAsia" w:ascii="宋体" w:hAnsi="宋体" w:cs="宋体"/>
                <w:bCs/>
                <w:highlight w:val="none"/>
              </w:rPr>
              <w:t>1</w:t>
            </w:r>
            <w:r>
              <w:rPr>
                <w:rFonts w:hint="eastAsia" w:ascii="宋体" w:hAnsi="宋体" w:cs="宋体"/>
                <w:bCs/>
                <w:highlight w:val="none"/>
                <w:lang w:val="zh-CN"/>
              </w:rPr>
              <w:t>分，满分</w:t>
            </w:r>
            <w:r>
              <w:rPr>
                <w:rFonts w:hint="eastAsia" w:ascii="宋体" w:hAnsi="宋体" w:cs="宋体"/>
                <w:bCs/>
                <w:highlight w:val="none"/>
              </w:rPr>
              <w:t>4</w:t>
            </w:r>
            <w:r>
              <w:rPr>
                <w:rFonts w:hint="eastAsia" w:ascii="宋体" w:hAnsi="宋体" w:cs="宋体"/>
                <w:bCs/>
                <w:highlight w:val="none"/>
                <w:lang w:val="zh-CN"/>
              </w:rPr>
              <w:t>分。</w:t>
            </w:r>
          </w:p>
          <w:p>
            <w:pPr>
              <w:snapToGrid w:val="0"/>
              <w:spacing w:line="240" w:lineRule="auto"/>
              <w:rPr>
                <w:rFonts w:hint="eastAsia" w:ascii="宋体" w:hAnsi="宋体" w:eastAsia="宋体" w:cs="宋体"/>
                <w:highlight w:val="none"/>
                <w:lang w:eastAsia="zh-CN"/>
              </w:rPr>
            </w:pPr>
            <w:r>
              <w:rPr>
                <w:rFonts w:hint="eastAsia" w:ascii="宋体" w:hAnsi="宋体" w:cs="宋体"/>
                <w:b/>
                <w:bCs/>
                <w:highlight w:val="none"/>
              </w:rPr>
              <w:t>（供应商须提供同类项目实施情况一览表和合同原件关键页扫描件；同类项目指曾承担过与本次采购项目相似或相同的服务）</w:t>
            </w:r>
            <w:r>
              <w:rPr>
                <w:rFonts w:hint="eastAsia" w:ascii="宋体" w:hAnsi="宋体" w:cs="宋体"/>
                <w:b/>
                <w:bCs/>
                <w:highlight w:val="none"/>
                <w:lang w:eastAsia="zh-CN"/>
              </w:rPr>
              <w:t>。</w:t>
            </w:r>
          </w:p>
        </w:tc>
        <w:tc>
          <w:tcPr>
            <w:tcW w:w="1071"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2.3</w:t>
            </w:r>
          </w:p>
        </w:tc>
        <w:tc>
          <w:tcPr>
            <w:tcW w:w="1474"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政策分（满分1分）</w:t>
            </w:r>
          </w:p>
        </w:tc>
        <w:tc>
          <w:tcPr>
            <w:tcW w:w="6097" w:type="dxa"/>
            <w:noWrap w:val="0"/>
            <w:vAlign w:val="center"/>
          </w:tcPr>
          <w:p>
            <w:pPr>
              <w:bidi w:val="0"/>
              <w:ind w:firstLine="240" w:firstLineChars="100"/>
              <w:rPr>
                <w:rFonts w:hint="eastAsia" w:ascii="宋体" w:hAnsi="宋体" w:eastAsia="宋体" w:cs="宋体"/>
              </w:rPr>
            </w:pPr>
            <w:r>
              <w:rPr>
                <w:rFonts w:hint="eastAsia" w:ascii="宋体" w:hAnsi="宋体" w:eastAsia="宋体" w:cs="宋体"/>
              </w:rPr>
              <w:t>（1）供应商提供的产品列入财政部、生态环境部制定和公布《环境标志产品政府采购品目清单》</w:t>
            </w:r>
            <w:r>
              <w:rPr>
                <w:rFonts w:hint="eastAsia" w:ascii="宋体" w:hAnsi="宋体" w:eastAsia="宋体" w:cs="宋体"/>
                <w:lang w:eastAsia="zh-CN"/>
              </w:rPr>
              <w:t>，并加盖公章</w:t>
            </w:r>
            <w:r>
              <w:rPr>
                <w:rFonts w:hint="eastAsia" w:ascii="宋体" w:hAnsi="宋体" w:eastAsia="宋体" w:cs="宋体"/>
              </w:rPr>
              <w:t>（以处于有效期之内的环境标志产品认证证书扫描件计分），每有一项得0.5分，满分0.5分；</w:t>
            </w:r>
          </w:p>
          <w:p>
            <w:pPr>
              <w:bidi w:val="0"/>
              <w:ind w:firstLine="240" w:firstLineChars="100"/>
              <w:rPr>
                <w:rFonts w:hint="eastAsia" w:ascii="宋体" w:hAnsi="宋体" w:eastAsia="宋体" w:cs="宋体"/>
              </w:rPr>
            </w:pPr>
            <w:r>
              <w:rPr>
                <w:rFonts w:hint="eastAsia" w:ascii="宋体" w:hAnsi="宋体" w:eastAsia="宋体" w:cs="宋体"/>
              </w:rPr>
              <w:t>（2）属于财政部《节能产品政府采购品目清单》内优先采购（政府强制采购节能产品除外）的产品[响应文件中提供有效的认证证书扫描件及品目清单（标注</w:t>
            </w:r>
            <w:r>
              <w:rPr>
                <w:rFonts w:hint="eastAsia" w:ascii="宋体" w:hAnsi="宋体" w:eastAsia="宋体" w:cs="宋体"/>
                <w:lang w:val="en-US" w:eastAsia="zh-CN"/>
              </w:rPr>
              <w:t>竞</w:t>
            </w:r>
            <w:r>
              <w:rPr>
                <w:rFonts w:hint="eastAsia" w:ascii="宋体" w:hAnsi="宋体" w:eastAsia="宋体" w:cs="宋体"/>
              </w:rPr>
              <w:t>标产品在清单所属的品目），并加盖公章]，每有一项得0.5分，满分0.5分。</w:t>
            </w:r>
          </w:p>
        </w:tc>
        <w:tc>
          <w:tcPr>
            <w:tcW w:w="1071"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widowControl/>
              <w:snapToGrid w:val="0"/>
              <w:spacing w:line="240" w:lineRule="auto"/>
              <w:ind w:firstLine="0" w:firstLineChars="0"/>
              <w:jc w:val="center"/>
              <w:rPr>
                <w:rFonts w:hint="eastAsia" w:ascii="宋体" w:hAnsi="宋体" w:eastAsia="宋体" w:cs="宋体"/>
                <w:b/>
                <w:bCs/>
                <w:highlight w:val="none"/>
              </w:rPr>
            </w:pPr>
            <w:r>
              <w:rPr>
                <w:rFonts w:hint="eastAsia" w:ascii="宋体" w:hAnsi="宋体" w:cs="宋体"/>
                <w:b/>
                <w:kern w:val="0"/>
                <w:highlight w:val="none"/>
              </w:rPr>
              <w:t>3</w:t>
            </w:r>
          </w:p>
        </w:tc>
        <w:tc>
          <w:tcPr>
            <w:tcW w:w="1474" w:type="dxa"/>
            <w:noWrap w:val="0"/>
            <w:vAlign w:val="center"/>
          </w:tcPr>
          <w:p>
            <w:pPr>
              <w:widowControl/>
              <w:snapToGrid w:val="0"/>
              <w:spacing w:line="240" w:lineRule="auto"/>
              <w:ind w:firstLine="0" w:firstLineChars="0"/>
              <w:jc w:val="center"/>
              <w:rPr>
                <w:rFonts w:hint="eastAsia" w:ascii="宋体" w:hAnsi="宋体" w:eastAsia="宋体" w:cs="宋体"/>
                <w:b/>
                <w:bCs/>
                <w:highlight w:val="none"/>
              </w:rPr>
            </w:pPr>
            <w:r>
              <w:rPr>
                <w:rFonts w:hint="eastAsia" w:ascii="宋体" w:hAnsi="宋体" w:cs="宋体"/>
                <w:b/>
                <w:kern w:val="0"/>
                <w:highlight w:val="none"/>
              </w:rPr>
              <w:t>技术分</w:t>
            </w:r>
          </w:p>
        </w:tc>
        <w:tc>
          <w:tcPr>
            <w:tcW w:w="7168" w:type="dxa"/>
            <w:gridSpan w:val="2"/>
            <w:noWrap w:val="0"/>
            <w:vAlign w:val="top"/>
          </w:tcPr>
          <w:p>
            <w:pPr>
              <w:widowControl/>
              <w:snapToGrid w:val="0"/>
              <w:spacing w:line="240" w:lineRule="auto"/>
              <w:jc w:val="center"/>
              <w:rPr>
                <w:rFonts w:hint="eastAsia" w:ascii="宋体" w:hAnsi="宋体" w:eastAsia="宋体" w:cs="宋体"/>
                <w:b/>
                <w:bCs/>
                <w:highlight w:val="none"/>
              </w:rPr>
            </w:pPr>
            <w:r>
              <w:rPr>
                <w:rFonts w:hint="eastAsia" w:ascii="宋体" w:hAnsi="宋体" w:cs="宋体"/>
                <w:b/>
                <w:kern w:val="0"/>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3.1</w:t>
            </w:r>
          </w:p>
        </w:tc>
        <w:tc>
          <w:tcPr>
            <w:tcW w:w="1474"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设施设备技术保障分（</w:t>
            </w:r>
            <w:r>
              <w:rPr>
                <w:rFonts w:ascii="宋体" w:hAnsi="宋体" w:cs="宋体"/>
                <w:bCs/>
                <w:highlight w:val="none"/>
              </w:rPr>
              <w:t>15</w:t>
            </w:r>
            <w:r>
              <w:rPr>
                <w:rFonts w:hint="eastAsia" w:ascii="宋体" w:hAnsi="宋体" w:cs="宋体"/>
                <w:bCs/>
                <w:highlight w:val="none"/>
              </w:rPr>
              <w:t>分）</w:t>
            </w:r>
          </w:p>
        </w:tc>
        <w:tc>
          <w:tcPr>
            <w:tcW w:w="6097" w:type="dxa"/>
            <w:noWrap w:val="0"/>
            <w:vAlign w:val="center"/>
          </w:tcPr>
          <w:p>
            <w:pPr>
              <w:bidi w:val="0"/>
              <w:spacing w:line="240" w:lineRule="auto"/>
              <w:ind w:firstLine="480" w:firstLineChars="200"/>
              <w:rPr>
                <w:rFonts w:hint="eastAsia" w:ascii="宋体" w:hAnsi="宋体" w:eastAsia="宋体" w:cs="宋体"/>
              </w:rPr>
            </w:pPr>
            <w:r>
              <w:rPr>
                <w:rFonts w:hint="eastAsia" w:ascii="宋体" w:hAnsi="宋体" w:eastAsia="宋体" w:cs="宋体"/>
              </w:rPr>
              <w:t>通过资格性、符合性审查，完全满足采购要求且无负偏离的，得满分15分；有负偏离或漏项的，每有一项扣0.5分，最多扣完15分为止。</w:t>
            </w:r>
          </w:p>
          <w:p>
            <w:pPr>
              <w:bidi w:val="0"/>
              <w:spacing w:line="240" w:lineRule="auto"/>
              <w:rPr>
                <w:rFonts w:hint="eastAsia" w:ascii="宋体" w:hAnsi="宋体" w:eastAsia="宋体" w:cs="宋体"/>
              </w:rPr>
            </w:pPr>
            <w:r>
              <w:rPr>
                <w:rFonts w:hint="eastAsia" w:ascii="宋体" w:hAnsi="宋体" w:eastAsia="宋体" w:cs="宋体"/>
              </w:rPr>
              <w:t>注：以</w:t>
            </w:r>
            <w:r>
              <w:rPr>
                <w:rFonts w:hint="eastAsia" w:ascii="宋体" w:hAnsi="宋体" w:eastAsia="宋体" w:cs="宋体"/>
                <w:lang w:val="en-US" w:eastAsia="zh-CN"/>
              </w:rPr>
              <w:t>供应商</w:t>
            </w:r>
            <w:r>
              <w:rPr>
                <w:rFonts w:hint="eastAsia" w:ascii="宋体" w:hAnsi="宋体" w:eastAsia="宋体" w:cs="宋体"/>
              </w:rPr>
              <w:t>在</w:t>
            </w:r>
            <w:r>
              <w:rPr>
                <w:rFonts w:hint="eastAsia" w:ascii="宋体" w:hAnsi="宋体" w:eastAsia="宋体" w:cs="宋体"/>
                <w:lang w:val="en-US" w:eastAsia="zh-CN"/>
              </w:rPr>
              <w:t>响应</w:t>
            </w:r>
            <w:r>
              <w:rPr>
                <w:rFonts w:hint="eastAsia" w:ascii="宋体" w:hAnsi="宋体" w:eastAsia="宋体" w:cs="宋体"/>
              </w:rPr>
              <w:t>文件中提供的“技术需求偏离”为评审依据，其中标注“★”号的技术参数及功能需提供国家认可的具有检测资质的第三方检测机构出具的检测报告扫描件且加盖设备厂商或</w:t>
            </w:r>
            <w:r>
              <w:rPr>
                <w:rFonts w:hint="eastAsia" w:ascii="宋体" w:hAnsi="宋体" w:eastAsia="宋体" w:cs="宋体"/>
                <w:lang w:val="en-US" w:eastAsia="zh-CN"/>
              </w:rPr>
              <w:t>供应商</w:t>
            </w:r>
            <w:r>
              <w:rPr>
                <w:rFonts w:hint="eastAsia" w:ascii="宋体" w:hAnsi="宋体" w:eastAsia="宋体" w:cs="宋体"/>
              </w:rPr>
              <w:t>公章（联合体</w:t>
            </w:r>
            <w:r>
              <w:rPr>
                <w:rFonts w:hint="eastAsia" w:ascii="宋体" w:hAnsi="宋体" w:eastAsia="宋体" w:cs="宋体"/>
                <w:lang w:val="en-US" w:eastAsia="zh-CN"/>
              </w:rPr>
              <w:t>竞标</w:t>
            </w:r>
            <w:r>
              <w:rPr>
                <w:rFonts w:hint="eastAsia" w:ascii="宋体" w:hAnsi="宋体" w:eastAsia="宋体" w:cs="宋体"/>
              </w:rPr>
              <w:t>的，加盖牵头单位公章），否则不予认可。</w:t>
            </w:r>
          </w:p>
        </w:tc>
        <w:tc>
          <w:tcPr>
            <w:tcW w:w="1071"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0~</w:t>
            </w:r>
            <w:r>
              <w:rPr>
                <w:rFonts w:ascii="宋体" w:hAnsi="宋体" w:cs="宋体"/>
                <w:bCs/>
                <w:highlight w:val="none"/>
              </w:rPr>
              <w:t>15</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3.2</w:t>
            </w:r>
          </w:p>
        </w:tc>
        <w:tc>
          <w:tcPr>
            <w:tcW w:w="1474" w:type="dxa"/>
            <w:noWrap w:val="0"/>
            <w:vAlign w:val="center"/>
          </w:tcPr>
          <w:p>
            <w:pPr>
              <w:pStyle w:val="15"/>
              <w:snapToGrid w:val="0"/>
              <w:spacing w:line="240" w:lineRule="auto"/>
              <w:ind w:firstLine="0" w:firstLineChars="0"/>
              <w:jc w:val="center"/>
              <w:rPr>
                <w:rFonts w:hint="eastAsia" w:ascii="宋体" w:hAnsi="宋体" w:eastAsia="宋体" w:cs="宋体"/>
                <w:highlight w:val="none"/>
              </w:rPr>
            </w:pPr>
            <w:r>
              <w:rPr>
                <w:rFonts w:hint="eastAsia" w:hAnsi="宋体" w:cs="宋体"/>
                <w:bCs/>
                <w:sz w:val="24"/>
                <w:szCs w:val="24"/>
                <w:highlight w:val="none"/>
              </w:rPr>
              <w:t>技术服务方案分（满分</w:t>
            </w:r>
            <w:r>
              <w:rPr>
                <w:rFonts w:hAnsi="宋体" w:cs="宋体"/>
                <w:bCs/>
                <w:sz w:val="24"/>
                <w:szCs w:val="24"/>
                <w:highlight w:val="none"/>
              </w:rPr>
              <w:t>21</w:t>
            </w:r>
            <w:r>
              <w:rPr>
                <w:rFonts w:hint="eastAsia" w:hAnsi="宋体" w:cs="宋体"/>
                <w:bCs/>
                <w:sz w:val="24"/>
                <w:szCs w:val="24"/>
                <w:highlight w:val="none"/>
              </w:rPr>
              <w:t>分）</w:t>
            </w:r>
          </w:p>
        </w:tc>
        <w:tc>
          <w:tcPr>
            <w:tcW w:w="6097" w:type="dxa"/>
            <w:noWrap w:val="0"/>
            <w:vAlign w:val="center"/>
          </w:tcPr>
          <w:p>
            <w:pPr>
              <w:bidi w:val="0"/>
              <w:ind w:firstLine="480" w:firstLineChars="200"/>
              <w:rPr>
                <w:rFonts w:hint="eastAsia" w:ascii="宋体" w:hAnsi="宋体" w:eastAsia="宋体" w:cs="宋体"/>
              </w:rPr>
            </w:pPr>
            <w:r>
              <w:rPr>
                <w:rFonts w:hint="eastAsia" w:ascii="宋体" w:hAnsi="宋体" w:eastAsia="宋体" w:cs="宋体"/>
              </w:rPr>
              <w:t>评标专家根据各供应商提供的技术服务方案的合理性、科学性、完整性、可操作性进行比较并按以下评审因素各自独立打分。</w:t>
            </w:r>
          </w:p>
          <w:p>
            <w:pPr>
              <w:bidi w:val="0"/>
              <w:ind w:firstLine="240" w:firstLineChars="100"/>
              <w:rPr>
                <w:rFonts w:hint="eastAsia" w:ascii="宋体" w:hAnsi="宋体" w:eastAsia="宋体" w:cs="宋体"/>
                <w:lang w:eastAsia="zh-CN"/>
              </w:rPr>
            </w:pPr>
            <w:r>
              <w:rPr>
                <w:rFonts w:hint="eastAsia" w:ascii="宋体" w:hAnsi="宋体" w:eastAsia="宋体" w:cs="宋体"/>
              </w:rPr>
              <w:t>一档（0分）：未满足采购文件要求或未提供实施方案的为0分</w:t>
            </w:r>
            <w:r>
              <w:rPr>
                <w:rFonts w:hint="eastAsia" w:ascii="宋体" w:hAnsi="宋体" w:eastAsia="宋体" w:cs="宋体"/>
                <w:lang w:eastAsia="zh-CN"/>
              </w:rPr>
              <w:t>；</w:t>
            </w:r>
          </w:p>
          <w:p>
            <w:pPr>
              <w:bidi w:val="0"/>
              <w:ind w:firstLine="240" w:firstLineChars="100"/>
              <w:rPr>
                <w:rFonts w:hint="eastAsia" w:ascii="宋体" w:hAnsi="宋体" w:eastAsia="宋体" w:cs="宋体"/>
                <w:lang w:eastAsia="zh-CN"/>
              </w:rPr>
            </w:pPr>
            <w:r>
              <w:rPr>
                <w:rFonts w:hint="eastAsia" w:ascii="宋体" w:hAnsi="宋体" w:eastAsia="宋体" w:cs="宋体"/>
              </w:rPr>
              <w:t>二档（7分）：对本项目采购需求的理解基本准确，方案较简单可行</w:t>
            </w:r>
            <w:r>
              <w:rPr>
                <w:rFonts w:hint="eastAsia" w:ascii="宋体" w:hAnsi="宋体" w:eastAsia="宋体" w:cs="宋体"/>
                <w:lang w:eastAsia="zh-CN"/>
              </w:rPr>
              <w:t>；</w:t>
            </w:r>
          </w:p>
          <w:p>
            <w:pPr>
              <w:bidi w:val="0"/>
              <w:ind w:firstLine="240" w:firstLineChars="100"/>
              <w:rPr>
                <w:rFonts w:hint="eastAsia" w:ascii="宋体" w:hAnsi="宋体" w:eastAsia="宋体" w:cs="宋体"/>
              </w:rPr>
            </w:pPr>
            <w:r>
              <w:rPr>
                <w:rFonts w:hint="eastAsia" w:ascii="宋体" w:hAnsi="宋体" w:eastAsia="宋体" w:cs="宋体"/>
              </w:rPr>
              <w:t>三档（14分）：对本项目采购需求的理解完整清晰，方案论述基本准确，方案体现技术架构，方案基本完整；</w:t>
            </w:r>
          </w:p>
          <w:p>
            <w:pPr>
              <w:bidi w:val="0"/>
              <w:ind w:firstLine="240" w:firstLineChars="100"/>
              <w:rPr>
                <w:rFonts w:hint="eastAsia" w:ascii="宋体" w:hAnsi="宋体" w:eastAsia="宋体" w:cs="宋体"/>
                <w:lang w:eastAsia="zh-CN"/>
              </w:rPr>
            </w:pPr>
            <w:r>
              <w:rPr>
                <w:rFonts w:hint="eastAsia" w:ascii="宋体" w:hAnsi="宋体" w:eastAsia="宋体" w:cs="宋体"/>
              </w:rPr>
              <w:t>四档（21分）：对本项目采购需求的理解完整清晰，方案能根据需求进行设计，各主要服务项目有详细设计，能详述技术框架、功能设计等，方案完整可行，满足本项目实际需求；且供应商或供应商用于本项目服务的设施设备厂商具有与技术保障、提升服务质量、水平相关证明材料</w:t>
            </w:r>
            <w:r>
              <w:rPr>
                <w:rFonts w:hint="eastAsia" w:ascii="宋体" w:hAnsi="宋体" w:eastAsia="宋体" w:cs="宋体"/>
                <w:lang w:eastAsia="zh-CN"/>
              </w:rPr>
              <w:t>。</w:t>
            </w:r>
          </w:p>
        </w:tc>
        <w:tc>
          <w:tcPr>
            <w:tcW w:w="1071"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0~</w:t>
            </w:r>
            <w:r>
              <w:rPr>
                <w:rFonts w:ascii="宋体" w:hAnsi="宋体" w:cs="宋体"/>
                <w:bCs/>
                <w:highlight w:val="none"/>
              </w:rPr>
              <w:t>21</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3.3</w:t>
            </w:r>
          </w:p>
        </w:tc>
        <w:tc>
          <w:tcPr>
            <w:tcW w:w="1474" w:type="dxa"/>
            <w:noWrap w:val="0"/>
            <w:vAlign w:val="center"/>
          </w:tcPr>
          <w:p>
            <w:pPr>
              <w:pStyle w:val="15"/>
              <w:snapToGrid w:val="0"/>
              <w:spacing w:line="240" w:lineRule="auto"/>
              <w:ind w:firstLine="0" w:firstLineChars="0"/>
              <w:jc w:val="center"/>
              <w:rPr>
                <w:rFonts w:hint="eastAsia" w:ascii="宋体" w:hAnsi="宋体" w:eastAsia="宋体" w:cs="宋体"/>
                <w:highlight w:val="none"/>
              </w:rPr>
            </w:pPr>
            <w:r>
              <w:rPr>
                <w:rFonts w:hint="eastAsia" w:hAnsi="宋体" w:cs="宋体"/>
                <w:bCs/>
                <w:sz w:val="24"/>
                <w:szCs w:val="24"/>
                <w:highlight w:val="none"/>
              </w:rPr>
              <w:t>项目实施方案分（满分</w:t>
            </w:r>
            <w:r>
              <w:rPr>
                <w:rFonts w:hAnsi="宋体" w:cs="宋体"/>
                <w:bCs/>
                <w:sz w:val="24"/>
                <w:szCs w:val="24"/>
                <w:highlight w:val="none"/>
              </w:rPr>
              <w:t>21</w:t>
            </w:r>
            <w:r>
              <w:rPr>
                <w:rFonts w:hint="eastAsia" w:hAnsi="宋体" w:cs="宋体"/>
                <w:bCs/>
                <w:sz w:val="24"/>
                <w:szCs w:val="24"/>
                <w:highlight w:val="none"/>
              </w:rPr>
              <w:t>分）</w:t>
            </w:r>
          </w:p>
        </w:tc>
        <w:tc>
          <w:tcPr>
            <w:tcW w:w="6097" w:type="dxa"/>
            <w:noWrap w:val="0"/>
            <w:vAlign w:val="center"/>
          </w:tcPr>
          <w:p>
            <w:pPr>
              <w:bidi w:val="0"/>
              <w:ind w:firstLine="480" w:firstLineChars="200"/>
              <w:rPr>
                <w:rFonts w:hint="eastAsia" w:ascii="宋体" w:hAnsi="宋体" w:eastAsia="宋体" w:cs="宋体"/>
              </w:rPr>
            </w:pPr>
            <w:r>
              <w:rPr>
                <w:rFonts w:hint="eastAsia" w:ascii="宋体" w:hAnsi="宋体" w:eastAsia="宋体" w:cs="宋体"/>
              </w:rPr>
              <w:t>评标专家根据各供应商所提供的项目实施方案进行比较并按以下评审因素各自独立打分。</w:t>
            </w:r>
          </w:p>
          <w:p>
            <w:pPr>
              <w:bidi w:val="0"/>
              <w:ind w:firstLine="240" w:firstLineChars="100"/>
              <w:rPr>
                <w:rFonts w:hint="eastAsia" w:ascii="宋体" w:hAnsi="宋体" w:eastAsia="宋体" w:cs="宋体"/>
                <w:lang w:val="zh-CN"/>
              </w:rPr>
            </w:pPr>
            <w:r>
              <w:rPr>
                <w:rFonts w:hint="eastAsia" w:ascii="宋体" w:hAnsi="宋体" w:eastAsia="宋体" w:cs="宋体"/>
                <w:lang w:val="zh-CN"/>
              </w:rPr>
              <w:t>一档（0分）：未满足采购文件要求或未提供实施方案的为0分；</w:t>
            </w:r>
          </w:p>
          <w:p>
            <w:pPr>
              <w:bidi w:val="0"/>
              <w:ind w:firstLine="240" w:firstLineChars="100"/>
              <w:rPr>
                <w:rFonts w:hint="eastAsia" w:ascii="宋体" w:hAnsi="宋体" w:eastAsia="宋体" w:cs="宋体"/>
                <w:lang w:val="zh-CN"/>
              </w:rPr>
            </w:pPr>
            <w:r>
              <w:rPr>
                <w:rFonts w:hint="eastAsia" w:ascii="宋体" w:hAnsi="宋体" w:eastAsia="宋体" w:cs="宋体"/>
                <w:lang w:val="zh-CN"/>
              </w:rPr>
              <w:t>二档（</w:t>
            </w:r>
            <w:r>
              <w:rPr>
                <w:rFonts w:hint="eastAsia" w:ascii="宋体" w:hAnsi="宋体" w:eastAsia="宋体" w:cs="宋体"/>
              </w:rPr>
              <w:t>7</w:t>
            </w:r>
            <w:r>
              <w:rPr>
                <w:rFonts w:hint="eastAsia" w:ascii="宋体" w:hAnsi="宋体" w:eastAsia="宋体" w:cs="宋体"/>
                <w:lang w:val="zh-CN"/>
              </w:rPr>
              <w:t>分）：有项目实施组织机构，具有合理的安装调试方法，工期划分合理并符合规范要求，具有进度计划、项目实施管理文档计划，项目实施方案简单，满足以上相关要求的；</w:t>
            </w:r>
          </w:p>
          <w:p>
            <w:pPr>
              <w:bidi w:val="0"/>
              <w:ind w:firstLine="240" w:firstLineChars="100"/>
              <w:rPr>
                <w:rFonts w:hint="eastAsia" w:ascii="宋体" w:hAnsi="宋体" w:eastAsia="宋体" w:cs="宋体"/>
                <w:lang w:val="zh-CN"/>
              </w:rPr>
            </w:pPr>
            <w:r>
              <w:rPr>
                <w:rFonts w:hint="eastAsia" w:ascii="宋体" w:hAnsi="宋体" w:eastAsia="宋体" w:cs="宋体"/>
                <w:lang w:val="zh-CN"/>
              </w:rPr>
              <w:t>三档（</w:t>
            </w:r>
            <w:r>
              <w:rPr>
                <w:rFonts w:hint="eastAsia" w:ascii="宋体" w:hAnsi="宋体" w:eastAsia="宋体" w:cs="宋体"/>
              </w:rPr>
              <w:t>14</w:t>
            </w:r>
            <w:r>
              <w:rPr>
                <w:rFonts w:hint="eastAsia" w:ascii="宋体" w:hAnsi="宋体" w:eastAsia="宋体" w:cs="宋体"/>
                <w:lang w:val="zh-CN"/>
              </w:rPr>
              <w:t>分）：</w:t>
            </w:r>
            <w:r>
              <w:rPr>
                <w:rFonts w:hint="eastAsia" w:ascii="宋体" w:hAnsi="宋体" w:eastAsia="宋体" w:cs="宋体"/>
              </w:rPr>
              <w:t>在满足二档的基础上，有项目实施组织机构，具有合理的安装调试方法，工期划分合理，具有进度计划、项目实施管理文档计划、安全及质量保证措施，提供合理的工期保证措施，项目实施方案较详细</w:t>
            </w:r>
            <w:r>
              <w:rPr>
                <w:rFonts w:hint="eastAsia" w:ascii="宋体" w:hAnsi="宋体" w:eastAsia="宋体" w:cs="宋体"/>
                <w:lang w:val="zh-CN"/>
              </w:rPr>
              <w:t>；</w:t>
            </w:r>
          </w:p>
          <w:p>
            <w:pPr>
              <w:bidi w:val="0"/>
              <w:ind w:firstLine="240" w:firstLineChars="100"/>
              <w:rPr>
                <w:rFonts w:hint="eastAsia" w:ascii="宋体" w:hAnsi="宋体" w:eastAsia="宋体" w:cs="宋体"/>
              </w:rPr>
            </w:pPr>
            <w:r>
              <w:rPr>
                <w:rFonts w:hint="eastAsia" w:ascii="宋体" w:hAnsi="宋体" w:eastAsia="宋体" w:cs="宋体"/>
                <w:lang w:val="zh-CN"/>
              </w:rPr>
              <w:t>四档（</w:t>
            </w:r>
            <w:r>
              <w:rPr>
                <w:rFonts w:hint="eastAsia" w:ascii="宋体" w:hAnsi="宋体" w:eastAsia="宋体" w:cs="宋体"/>
              </w:rPr>
              <w:t>21</w:t>
            </w:r>
            <w:r>
              <w:rPr>
                <w:rFonts w:hint="eastAsia" w:ascii="宋体" w:hAnsi="宋体" w:eastAsia="宋体" w:cs="宋体"/>
                <w:lang w:val="zh-CN"/>
              </w:rPr>
              <w:t>分）：</w:t>
            </w:r>
            <w:r>
              <w:rPr>
                <w:rFonts w:hint="eastAsia" w:ascii="宋体" w:hAnsi="宋体" w:eastAsia="宋体" w:cs="宋体"/>
              </w:rPr>
              <w:t>在满足三档的基础上，有项目实施组织机构，具有合理的安装调试方法，工期划分合理，具有详细的进度计划、项目实施管理文档计划、安全及质量保证措施，提供合理的工期保证措施、项目应急预案，建议的安装、调试、验收方法或方案同比更完善有效、更优化、切实可行</w:t>
            </w:r>
            <w:r>
              <w:rPr>
                <w:rFonts w:hint="eastAsia" w:ascii="宋体" w:hAnsi="宋体" w:eastAsia="宋体" w:cs="宋体"/>
                <w:lang w:val="zh-CN"/>
              </w:rPr>
              <w:t>。</w:t>
            </w:r>
          </w:p>
        </w:tc>
        <w:tc>
          <w:tcPr>
            <w:tcW w:w="1071"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0~</w:t>
            </w:r>
            <w:r>
              <w:rPr>
                <w:rFonts w:ascii="宋体" w:hAnsi="宋体" w:cs="宋体"/>
                <w:bCs/>
                <w:highlight w:val="none"/>
              </w:rPr>
              <w:t>21</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3.4</w:t>
            </w:r>
          </w:p>
        </w:tc>
        <w:tc>
          <w:tcPr>
            <w:tcW w:w="1474"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维护服务方案分（满分</w:t>
            </w:r>
            <w:r>
              <w:rPr>
                <w:rFonts w:ascii="宋体" w:hAnsi="宋体" w:cs="宋体"/>
                <w:bCs/>
                <w:highlight w:val="none"/>
              </w:rPr>
              <w:t>21</w:t>
            </w:r>
            <w:r>
              <w:rPr>
                <w:rFonts w:hint="eastAsia" w:ascii="宋体" w:hAnsi="宋体" w:cs="宋体"/>
                <w:bCs/>
                <w:highlight w:val="none"/>
              </w:rPr>
              <w:t>分）</w:t>
            </w:r>
          </w:p>
        </w:tc>
        <w:tc>
          <w:tcPr>
            <w:tcW w:w="6097" w:type="dxa"/>
            <w:noWrap w:val="0"/>
            <w:vAlign w:val="center"/>
          </w:tcPr>
          <w:p>
            <w:pPr>
              <w:bidi w:val="0"/>
              <w:ind w:firstLine="480" w:firstLineChars="200"/>
              <w:rPr>
                <w:rFonts w:hint="eastAsia" w:ascii="宋体" w:hAnsi="宋体" w:eastAsia="宋体" w:cs="宋体"/>
              </w:rPr>
            </w:pPr>
            <w:r>
              <w:rPr>
                <w:rFonts w:hint="eastAsia" w:ascii="宋体" w:hAnsi="宋体" w:eastAsia="宋体" w:cs="宋体"/>
              </w:rPr>
              <w:t>评标专家根据各供应商提供的维护服务方案进行比较并按以下评审因素各自独立打分。</w:t>
            </w:r>
          </w:p>
          <w:p>
            <w:pPr>
              <w:bidi w:val="0"/>
              <w:ind w:firstLine="240" w:firstLineChars="100"/>
              <w:rPr>
                <w:rFonts w:hint="eastAsia" w:ascii="宋体" w:hAnsi="宋体" w:eastAsia="宋体" w:cs="宋体"/>
              </w:rPr>
            </w:pPr>
            <w:r>
              <w:rPr>
                <w:rFonts w:hint="eastAsia" w:ascii="宋体" w:hAnsi="宋体" w:eastAsia="宋体" w:cs="宋体"/>
              </w:rPr>
              <w:t>一档（0分）：</w:t>
            </w:r>
            <w:r>
              <w:rPr>
                <w:rFonts w:hint="eastAsia" w:ascii="宋体" w:hAnsi="宋体" w:eastAsia="宋体" w:cs="宋体"/>
                <w:lang w:val="zh-CN"/>
              </w:rPr>
              <w:t>未满足采购文件要求或未提供维护服务方案的为0分；</w:t>
            </w:r>
          </w:p>
          <w:p>
            <w:pPr>
              <w:bidi w:val="0"/>
              <w:ind w:firstLine="240" w:firstLineChars="100"/>
              <w:rPr>
                <w:rFonts w:hint="eastAsia" w:ascii="宋体" w:hAnsi="宋体" w:eastAsia="宋体" w:cs="宋体"/>
                <w:lang w:val="zh-CN" w:eastAsia="zh-CN"/>
              </w:rPr>
            </w:pPr>
            <w:r>
              <w:rPr>
                <w:rFonts w:hint="eastAsia" w:ascii="宋体" w:hAnsi="宋体" w:eastAsia="宋体" w:cs="宋体"/>
              </w:rPr>
              <w:t>二档（7分）：维护服务方案内容简单，有维护人员安排和措施说明</w:t>
            </w:r>
            <w:r>
              <w:rPr>
                <w:rFonts w:hint="eastAsia" w:ascii="宋体" w:hAnsi="宋体" w:eastAsia="宋体" w:cs="宋体"/>
                <w:lang w:eastAsia="zh-CN"/>
              </w:rPr>
              <w:t>；</w:t>
            </w:r>
          </w:p>
          <w:p>
            <w:pPr>
              <w:bidi w:val="0"/>
              <w:ind w:firstLine="240" w:firstLineChars="100"/>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档（14分）：维护服务方案内容具体，有维护人员安排说明，方案简单的阐述运维服务的内容，包括系统运行管理、故障处理、应急保障、服务运作的机制等；</w:t>
            </w:r>
          </w:p>
          <w:p>
            <w:pPr>
              <w:bidi w:val="0"/>
              <w:ind w:firstLine="240" w:firstLineChars="10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档（21分）：维护服务方案完整详实，有具体的维护人员安排说明，方案能准确的阐述运维服务的内容，服务运作的机制；能提供详细、准确的整体框架思路及运维服务内容，服务机制措施契合实际项目需要，有具体的系统修复、系统运行管理、故障处理、应急保障、服务运作的机制等方案，故障响应及达到故障现场时间优于采购要求，对系统的维护提供整体维护解决方案和运行维护应急预案，提供一站式、全面、专业的本地化维护服务，提供系统维护信息档案管理，有良好的免费培训计划和定期回访计划。</w:t>
            </w:r>
          </w:p>
        </w:tc>
        <w:tc>
          <w:tcPr>
            <w:tcW w:w="1071" w:type="dxa"/>
            <w:noWrap w:val="0"/>
            <w:vAlign w:val="center"/>
          </w:tcPr>
          <w:p>
            <w:pPr>
              <w:snapToGrid w:val="0"/>
              <w:spacing w:line="240" w:lineRule="auto"/>
              <w:ind w:firstLine="0" w:firstLineChars="0"/>
              <w:jc w:val="center"/>
              <w:rPr>
                <w:rFonts w:hint="eastAsia" w:ascii="宋体" w:hAnsi="宋体" w:eastAsia="宋体" w:cs="宋体"/>
                <w:highlight w:val="none"/>
              </w:rPr>
            </w:pPr>
            <w:r>
              <w:rPr>
                <w:rFonts w:hint="eastAsia" w:ascii="宋体" w:hAnsi="宋体" w:cs="宋体"/>
                <w:bCs/>
                <w:highlight w:val="none"/>
              </w:rPr>
              <w:t>0~</w:t>
            </w:r>
            <w:r>
              <w:rPr>
                <w:rFonts w:ascii="宋体" w:hAnsi="宋体" w:cs="宋体"/>
                <w:bCs/>
                <w:highlight w:val="none"/>
              </w:rPr>
              <w:t>21</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8" w:type="dxa"/>
            <w:gridSpan w:val="4"/>
            <w:noWrap w:val="0"/>
            <w:vAlign w:val="top"/>
          </w:tcPr>
          <w:p>
            <w:pPr>
              <w:bidi w:val="0"/>
              <w:spacing w:line="240" w:lineRule="auto"/>
              <w:jc w:val="center"/>
              <w:rPr>
                <w:rFonts w:hint="eastAsia" w:ascii="宋体" w:hAnsi="宋体" w:eastAsia="宋体" w:cs="宋体"/>
              </w:rPr>
            </w:pPr>
            <w:r>
              <w:rPr>
                <w:rFonts w:hint="eastAsia" w:ascii="宋体" w:hAnsi="宋体" w:eastAsia="宋体" w:cs="宋体"/>
              </w:rPr>
              <w:t>总得分＝1＋2＋3</w:t>
            </w:r>
          </w:p>
        </w:tc>
      </w:tr>
    </w:tbl>
    <w:p>
      <w:pPr>
        <w:spacing w:line="360" w:lineRule="auto"/>
        <w:ind w:firstLine="480" w:firstLineChars="200"/>
        <w:rPr>
          <w:rFonts w:ascii="宋体" w:hAnsi="宋体" w:cs="宋体"/>
        </w:rPr>
      </w:pPr>
    </w:p>
    <w:p>
      <w:pPr>
        <w:spacing w:line="440" w:lineRule="exact"/>
        <w:ind w:firstLine="480" w:firstLineChars="200"/>
        <w:rPr>
          <w:rFonts w:ascii="宋体" w:hAnsi="宋体" w:cs="宋体"/>
        </w:rPr>
      </w:pPr>
      <w:r>
        <w:rPr>
          <w:rFonts w:hint="eastAsia" w:ascii="宋体" w:hAnsi="宋体" w:cs="宋体"/>
        </w:rPr>
        <w:t>7.2.终止竞争性磋商采购活动</w:t>
      </w:r>
    </w:p>
    <w:p>
      <w:pPr>
        <w:spacing w:line="440" w:lineRule="exact"/>
        <w:ind w:firstLine="480" w:firstLineChars="200"/>
        <w:rPr>
          <w:rFonts w:ascii="宋体" w:hAnsi="宋体" w:cs="宋体"/>
        </w:rPr>
      </w:pPr>
      <w:r>
        <w:rPr>
          <w:rFonts w:hint="eastAsia" w:ascii="宋体" w:hAnsi="宋体" w:cs="宋体"/>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spacing w:line="440" w:lineRule="exact"/>
        <w:rPr>
          <w:rFonts w:ascii="Arial" w:hAnsi="Arial" w:eastAsia="黑体"/>
          <w:b/>
          <w:sz w:val="32"/>
          <w:szCs w:val="32"/>
        </w:rPr>
      </w:pPr>
      <w:bookmarkStart w:id="90" w:name="_Toc80886939"/>
    </w:p>
    <w:p>
      <w:pPr>
        <w:pStyle w:val="4"/>
        <w:spacing w:before="0" w:after="0" w:line="440" w:lineRule="exact"/>
        <w:jc w:val="center"/>
        <w:rPr>
          <w:rFonts w:ascii="宋体" w:hAnsi="宋体" w:eastAsia="宋体" w:cs="宋体"/>
          <w:bCs w:val="0"/>
          <w:sz w:val="24"/>
          <w:szCs w:val="24"/>
        </w:rPr>
      </w:pPr>
      <w:bookmarkStart w:id="91" w:name="_Toc20615"/>
      <w:bookmarkStart w:id="92" w:name="_Toc16756"/>
      <w:bookmarkStart w:id="93" w:name="_Toc21397"/>
      <w:bookmarkStart w:id="94" w:name="_Toc11674"/>
      <w:bookmarkStart w:id="95" w:name="_Toc19817"/>
      <w:bookmarkStart w:id="96" w:name="_Toc5694"/>
      <w:bookmarkStart w:id="97" w:name="_Toc21390"/>
      <w:bookmarkStart w:id="98" w:name="_Toc30356"/>
      <w:bookmarkStart w:id="99" w:name="_Toc29223"/>
      <w:bookmarkStart w:id="100" w:name="_Toc11009"/>
      <w:bookmarkStart w:id="101" w:name="_Toc12936"/>
      <w:bookmarkStart w:id="102" w:name="_Toc718"/>
      <w:bookmarkStart w:id="103" w:name="_Toc3878"/>
      <w:bookmarkStart w:id="104" w:name="_Toc19325"/>
      <w:r>
        <w:rPr>
          <w:rFonts w:hint="eastAsia" w:ascii="宋体" w:hAnsi="宋体" w:eastAsia="宋体" w:cs="宋体"/>
          <w:bCs w:val="0"/>
          <w:sz w:val="24"/>
          <w:szCs w:val="24"/>
        </w:rPr>
        <w:t>第二节 评标报告</w:t>
      </w:r>
      <w:bookmarkEnd w:id="8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440" w:lineRule="exact"/>
        <w:ind w:firstLine="480" w:firstLineChars="200"/>
        <w:rPr>
          <w:rFonts w:ascii="宋体" w:hAnsi="宋体" w:cs="宋体"/>
        </w:rPr>
      </w:pPr>
      <w:r>
        <w:rPr>
          <w:rFonts w:hint="eastAsia" w:ascii="宋体" w:hAnsi="宋体" w:cs="宋体"/>
        </w:rPr>
        <w:t>1.成交标准</w:t>
      </w:r>
    </w:p>
    <w:p>
      <w:pPr>
        <w:spacing w:line="440" w:lineRule="exact"/>
        <w:ind w:firstLine="480" w:firstLineChars="200"/>
        <w:rPr>
          <w:rFonts w:ascii="宋体" w:hAnsi="宋体" w:cs="宋体"/>
        </w:rPr>
      </w:pPr>
      <w:r>
        <w:rPr>
          <w:rFonts w:hint="eastAsia" w:ascii="宋体" w:hAnsi="宋体" w:cs="宋体"/>
          <w:bCs/>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440" w:lineRule="exact"/>
        <w:ind w:firstLine="480" w:firstLineChars="200"/>
        <w:rPr>
          <w:rFonts w:ascii="宋体" w:hAnsi="宋体" w:cs="宋体"/>
        </w:rPr>
      </w:pPr>
      <w:r>
        <w:rPr>
          <w:rFonts w:hint="eastAsia" w:ascii="宋体" w:hAnsi="宋体" w:cs="宋体"/>
        </w:rPr>
        <w:t>2.评标争议事项处理</w:t>
      </w:r>
    </w:p>
    <w:p>
      <w:pPr>
        <w:pStyle w:val="36"/>
        <w:spacing w:before="0" w:line="440" w:lineRule="exact"/>
        <w:ind w:firstLine="480"/>
        <w:rPr>
          <w:rFonts w:ascii="宋体" w:hAnsi="宋体" w:cs="宋体"/>
          <w:kern w:val="2"/>
          <w:szCs w:val="24"/>
        </w:rPr>
      </w:pPr>
      <w:r>
        <w:rPr>
          <w:rFonts w:hint="eastAsia" w:ascii="宋体" w:hAnsi="宋体" w:cs="宋体"/>
          <w:kern w:val="2"/>
          <w:szCs w:val="24"/>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440" w:lineRule="exact"/>
        <w:ind w:firstLine="482" w:firstLineChars="200"/>
        <w:jc w:val="center"/>
        <w:rPr>
          <w:rFonts w:ascii="宋体" w:hAnsi="宋体" w:eastAsia="宋体" w:cs="宋体"/>
          <w:bCs w:val="0"/>
          <w:sz w:val="24"/>
          <w:szCs w:val="24"/>
        </w:rPr>
      </w:pPr>
      <w:bookmarkStart w:id="105" w:name="_Toc80205936"/>
      <w:bookmarkStart w:id="106" w:name="_Toc18655"/>
      <w:bookmarkStart w:id="107" w:name="_Toc20188"/>
      <w:bookmarkStart w:id="108" w:name="_Toc7975"/>
      <w:bookmarkStart w:id="109" w:name="_Toc17147"/>
      <w:bookmarkStart w:id="110" w:name="_Toc669"/>
      <w:bookmarkStart w:id="111" w:name="_Toc29513"/>
      <w:bookmarkStart w:id="112" w:name="_Toc27814"/>
      <w:bookmarkStart w:id="113" w:name="_Toc15772"/>
      <w:bookmarkStart w:id="114" w:name="_Toc31637"/>
      <w:bookmarkStart w:id="115" w:name="_Toc80886940"/>
      <w:bookmarkStart w:id="116" w:name="_Toc3202"/>
      <w:bookmarkStart w:id="117" w:name="_Toc15124"/>
      <w:bookmarkStart w:id="118" w:name="_Toc11193"/>
      <w:bookmarkStart w:id="119" w:name="_Toc27046"/>
      <w:bookmarkStart w:id="120" w:name="_Toc3961"/>
      <w:r>
        <w:rPr>
          <w:rFonts w:hint="eastAsia" w:ascii="宋体" w:hAnsi="宋体" w:eastAsia="宋体" w:cs="宋体"/>
          <w:bCs w:val="0"/>
          <w:sz w:val="24"/>
          <w:szCs w:val="24"/>
        </w:rPr>
        <w:t>第三节 评审过程的保密与录像</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440" w:lineRule="exact"/>
        <w:ind w:firstLine="480" w:firstLineChars="200"/>
        <w:rPr>
          <w:rFonts w:ascii="宋体" w:hAnsi="宋体" w:cs="宋体"/>
        </w:rPr>
      </w:pPr>
      <w:r>
        <w:rPr>
          <w:rFonts w:hint="eastAsia" w:ascii="宋体" w:hAnsi="宋体" w:cs="宋体"/>
        </w:rPr>
        <w:t>1.保密</w:t>
      </w:r>
    </w:p>
    <w:p>
      <w:pPr>
        <w:widowControl/>
        <w:spacing w:line="440" w:lineRule="exact"/>
        <w:ind w:firstLine="480" w:firstLineChars="200"/>
        <w:rPr>
          <w:rFonts w:ascii="宋体" w:hAnsi="宋体" w:cs="宋体"/>
        </w:rPr>
      </w:pPr>
      <w:r>
        <w:rPr>
          <w:rFonts w:hint="eastAsia" w:ascii="宋体" w:hAnsi="宋体" w:cs="宋体"/>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pPr>
        <w:widowControl/>
        <w:spacing w:line="440" w:lineRule="exact"/>
        <w:ind w:firstLine="480" w:firstLineChars="200"/>
        <w:rPr>
          <w:rFonts w:ascii="宋体" w:hAnsi="宋体" w:cs="宋体"/>
        </w:rPr>
      </w:pPr>
      <w:r>
        <w:rPr>
          <w:rFonts w:hint="eastAsia" w:ascii="宋体" w:hAnsi="宋体" w:cs="宋体"/>
        </w:rPr>
        <w:t>2.录音录像</w:t>
      </w:r>
    </w:p>
    <w:p>
      <w:pPr>
        <w:ind w:firstLine="480" w:firstLineChars="200"/>
        <w:rPr>
          <w:rFonts w:hint="eastAsia"/>
        </w:rPr>
      </w:pPr>
      <w:r>
        <w:rPr>
          <w:rFonts w:hint="eastAsia" w:ascii="宋体" w:hAnsi="宋体" w:cs="宋体"/>
        </w:rPr>
        <w:t>评审工作现场及操作屏幕进行全过程录音录像。</w:t>
      </w:r>
    </w:p>
    <w:p>
      <w:pPr>
        <w:bidi w:val="0"/>
        <w:rPr>
          <w:rFonts w:hint="eastAsia" w:ascii="宋体" w:hAnsi="宋体" w:eastAsia="宋体" w:cs="宋体"/>
          <w:color w:val="auto"/>
          <w:lang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3"/>
        <w:numPr>
          <w:ilvl w:val="0"/>
          <w:numId w:val="3"/>
        </w:numPr>
        <w:bidi w:val="0"/>
        <w:rPr>
          <w:rFonts w:hint="eastAsia" w:ascii="宋体" w:hAnsi="宋体" w:eastAsia="宋体" w:cs="宋体"/>
          <w:color w:val="auto"/>
          <w:lang w:val="en-US" w:eastAsia="zh-CN"/>
        </w:rPr>
      </w:pPr>
      <w:bookmarkStart w:id="121" w:name="_Toc18424522"/>
      <w:r>
        <w:rPr>
          <w:rFonts w:hint="eastAsia" w:ascii="宋体" w:hAnsi="宋体" w:eastAsia="宋体" w:cs="宋体"/>
          <w:color w:val="auto"/>
        </w:rPr>
        <w:t xml:space="preserve"> </w:t>
      </w:r>
      <w:bookmarkEnd w:id="121"/>
      <w:bookmarkStart w:id="122" w:name="_Toc29915"/>
      <w:r>
        <w:rPr>
          <w:rFonts w:hint="eastAsia" w:ascii="宋体" w:hAnsi="宋体" w:eastAsia="宋体" w:cs="宋体"/>
          <w:color w:val="auto"/>
          <w:lang w:val="en-US" w:eastAsia="zh-CN"/>
        </w:rPr>
        <w:t>合同条款及格式</w:t>
      </w:r>
      <w:bookmarkEnd w:id="122"/>
    </w:p>
    <w:p>
      <w:pPr>
        <w:pStyle w:val="15"/>
        <w:spacing w:line="340" w:lineRule="exact"/>
        <w:rPr>
          <w:rFonts w:hAnsi="宋体" w:cs="宋体"/>
          <w:b/>
          <w:sz w:val="24"/>
          <w:szCs w:val="24"/>
        </w:rPr>
      </w:pPr>
      <w:r>
        <w:rPr>
          <w:rFonts w:hint="eastAsia" w:hAnsi="宋体" w:cs="宋体"/>
          <w:b/>
          <w:sz w:val="24"/>
          <w:szCs w:val="24"/>
        </w:rPr>
        <w:t>说明：</w:t>
      </w:r>
    </w:p>
    <w:p>
      <w:pPr>
        <w:spacing w:line="360" w:lineRule="auto"/>
        <w:rPr>
          <w:rFonts w:ascii="宋体" w:hAnsi="宋体" w:cs="宋体"/>
          <w:b/>
          <w:sz w:val="24"/>
          <w:szCs w:val="24"/>
        </w:rPr>
      </w:pPr>
      <w:r>
        <w:rPr>
          <w:rFonts w:hint="eastAsia" w:ascii="宋体" w:hAnsi="宋体" w:cs="宋体"/>
          <w:b/>
          <w:sz w:val="24"/>
          <w:szCs w:val="24"/>
        </w:rPr>
        <w:t>1、以下合同书仅供签订正式合同时参考用，正式合同书应包括此参考格式之内容。</w:t>
      </w:r>
    </w:p>
    <w:p>
      <w:pPr>
        <w:pStyle w:val="15"/>
        <w:spacing w:line="340" w:lineRule="exact"/>
        <w:rPr>
          <w:rFonts w:hAnsi="宋体" w:cs="宋体"/>
          <w:b/>
        </w:rPr>
      </w:pPr>
      <w:r>
        <w:rPr>
          <w:rFonts w:hint="eastAsia" w:hAnsi="宋体" w:cs="宋体"/>
          <w:b/>
          <w:sz w:val="24"/>
          <w:szCs w:val="24"/>
        </w:rPr>
        <w:t>2、合同签订双方可根据项目的具体要求进行修订，但合同条款不得与</w:t>
      </w:r>
      <w:r>
        <w:rPr>
          <w:rFonts w:hint="eastAsia" w:hAnsi="宋体" w:cs="宋体"/>
          <w:b/>
          <w:sz w:val="24"/>
          <w:szCs w:val="24"/>
          <w:lang w:val="en-US" w:eastAsia="zh-CN"/>
        </w:rPr>
        <w:t>采购</w:t>
      </w:r>
      <w:r>
        <w:rPr>
          <w:rFonts w:hint="eastAsia" w:hAnsi="宋体" w:cs="宋体"/>
          <w:b/>
          <w:sz w:val="24"/>
          <w:szCs w:val="24"/>
        </w:rPr>
        <w:t>文件和</w:t>
      </w:r>
      <w:r>
        <w:rPr>
          <w:rFonts w:hint="eastAsia" w:hAnsi="宋体" w:cs="宋体"/>
          <w:b/>
          <w:sz w:val="24"/>
          <w:szCs w:val="24"/>
          <w:lang w:val="en-US" w:eastAsia="zh-CN"/>
        </w:rPr>
        <w:t>成交</w:t>
      </w:r>
      <w:r>
        <w:rPr>
          <w:rFonts w:hint="eastAsia" w:hAnsi="宋体" w:cs="宋体"/>
          <w:b/>
          <w:sz w:val="24"/>
          <w:szCs w:val="24"/>
        </w:rPr>
        <w:t>供应商</w:t>
      </w:r>
      <w:r>
        <w:rPr>
          <w:rFonts w:hint="eastAsia" w:hAnsi="宋体" w:cs="宋体"/>
          <w:b/>
          <w:sz w:val="24"/>
          <w:szCs w:val="24"/>
          <w:lang w:val="en-US" w:eastAsia="zh-CN"/>
        </w:rPr>
        <w:t>竞标</w:t>
      </w:r>
      <w:r>
        <w:rPr>
          <w:rFonts w:hint="eastAsia" w:hAnsi="宋体" w:cs="宋体"/>
          <w:b/>
          <w:sz w:val="24"/>
          <w:szCs w:val="24"/>
        </w:rPr>
        <w:t>文件有实质性偏离。</w:t>
      </w:r>
    </w:p>
    <w:p>
      <w:pPr>
        <w:rPr>
          <w:rFonts w:ascii="宋体" w:hAnsi="宋体" w:cs="宋体"/>
          <w:b/>
        </w:rPr>
      </w:pPr>
    </w:p>
    <w:p>
      <w:pPr>
        <w:pStyle w:val="2"/>
        <w:jc w:val="center"/>
        <w:rPr>
          <w:rFonts w:ascii="宋体" w:hAnsi="宋体" w:cs="宋体"/>
          <w:b/>
          <w:bCs/>
          <w:sz w:val="32"/>
          <w:szCs w:val="32"/>
        </w:rPr>
      </w:pPr>
    </w:p>
    <w:p>
      <w:pPr>
        <w:pStyle w:val="2"/>
        <w:jc w:val="center"/>
        <w:rPr>
          <w:rFonts w:ascii="宋体" w:hAnsi="宋体" w:cs="宋体"/>
          <w:b/>
          <w:bCs/>
          <w:sz w:val="32"/>
          <w:szCs w:val="32"/>
        </w:rPr>
      </w:pPr>
      <w:r>
        <w:rPr>
          <w:rFonts w:hint="eastAsia" w:ascii="宋体" w:hAnsi="宋体" w:cs="宋体"/>
          <w:b/>
          <w:bCs/>
          <w:sz w:val="32"/>
          <w:szCs w:val="32"/>
        </w:rPr>
        <w:t>政府采购合同（格式）</w:t>
      </w:r>
    </w:p>
    <w:p>
      <w:pPr>
        <w:rPr>
          <w:rFonts w:ascii="宋体" w:hAnsi="宋体" w:cs="宋体"/>
        </w:rPr>
      </w:pPr>
    </w:p>
    <w:p>
      <w:pPr>
        <w:pStyle w:val="20"/>
        <w:ind w:left="0" w:leftChars="0"/>
        <w:rPr>
          <w:rFonts w:ascii="宋体" w:hAnsi="宋体" w:cs="宋体"/>
        </w:rPr>
      </w:pPr>
    </w:p>
    <w:p>
      <w:pPr>
        <w:pStyle w:val="2"/>
        <w:spacing w:line="440" w:lineRule="exact"/>
        <w:ind w:firstLine="5460" w:firstLineChars="2600"/>
        <w:rPr>
          <w:rFonts w:ascii="宋体" w:hAnsi="宋体" w:cs="宋体"/>
          <w:u w:val="single"/>
        </w:rPr>
      </w:pPr>
      <w:r>
        <w:rPr>
          <w:rFonts w:hint="eastAsia" w:ascii="宋体" w:hAnsi="宋体" w:cs="宋体"/>
        </w:rPr>
        <w:t>合同编号：</w:t>
      </w:r>
      <w:r>
        <w:rPr>
          <w:rFonts w:hint="eastAsia" w:ascii="宋体" w:hAnsi="宋体" w:cs="宋体"/>
          <w:u w:val="single"/>
        </w:rPr>
        <w:t xml:space="preserve">             </w:t>
      </w:r>
    </w:p>
    <w:p>
      <w:pPr>
        <w:pStyle w:val="2"/>
        <w:snapToGrid w:val="0"/>
        <w:spacing w:line="440" w:lineRule="exact"/>
        <w:rPr>
          <w:rFonts w:ascii="宋体" w:hAnsi="宋体" w:cs="宋体"/>
        </w:rPr>
      </w:pPr>
      <w:r>
        <w:rPr>
          <w:rFonts w:hint="eastAsia" w:ascii="宋体" w:hAnsi="宋体" w:cs="宋体"/>
        </w:rPr>
        <w:t>采购单位（甲方）：</w:t>
      </w:r>
    </w:p>
    <w:p>
      <w:pPr>
        <w:pStyle w:val="2"/>
        <w:snapToGrid w:val="0"/>
        <w:spacing w:line="440" w:lineRule="exact"/>
        <w:rPr>
          <w:rFonts w:ascii="宋体" w:hAnsi="宋体" w:cs="宋体"/>
        </w:rPr>
      </w:pPr>
      <w:r>
        <w:rPr>
          <w:rFonts w:hint="eastAsia" w:ascii="宋体" w:hAnsi="宋体" w:cs="宋体"/>
        </w:rPr>
        <w:t>供 应 商（乙方）：</w:t>
      </w:r>
    </w:p>
    <w:p>
      <w:pPr>
        <w:pStyle w:val="2"/>
        <w:snapToGrid w:val="0"/>
        <w:spacing w:line="440" w:lineRule="exact"/>
        <w:rPr>
          <w:rFonts w:ascii="宋体" w:hAnsi="宋体" w:cs="宋体"/>
        </w:rPr>
      </w:pPr>
      <w:r>
        <w:rPr>
          <w:rFonts w:hint="eastAsia" w:ascii="宋体" w:hAnsi="宋体" w:cs="宋体"/>
        </w:rPr>
        <w:t>项目名称及编号：</w:t>
      </w:r>
    </w:p>
    <w:p>
      <w:pPr>
        <w:pStyle w:val="2"/>
        <w:snapToGrid w:val="0"/>
        <w:spacing w:line="440" w:lineRule="exact"/>
        <w:rPr>
          <w:rFonts w:ascii="宋体" w:hAnsi="宋体" w:cs="宋体"/>
        </w:rPr>
      </w:pPr>
      <w:r>
        <w:rPr>
          <w:rFonts w:hint="eastAsia" w:ascii="宋体" w:hAnsi="宋体" w:cs="宋体"/>
        </w:rPr>
        <w:t>签订地点：</w:t>
      </w:r>
    </w:p>
    <w:p>
      <w:pPr>
        <w:pStyle w:val="2"/>
        <w:snapToGrid w:val="0"/>
        <w:spacing w:line="440" w:lineRule="exact"/>
        <w:rPr>
          <w:rFonts w:ascii="宋体" w:hAnsi="宋体" w:cs="宋体"/>
        </w:rPr>
      </w:pPr>
      <w:r>
        <w:rPr>
          <w:rFonts w:hint="eastAsia" w:ascii="宋体" w:hAnsi="宋体" w:cs="宋体"/>
        </w:rPr>
        <w:t xml:space="preserve">签订时间 </w:t>
      </w:r>
    </w:p>
    <w:p>
      <w:pPr>
        <w:pStyle w:val="2"/>
        <w:snapToGrid w:val="0"/>
        <w:spacing w:line="440" w:lineRule="exact"/>
        <w:ind w:firstLine="367" w:firstLineChars="175"/>
        <w:rPr>
          <w:rFonts w:ascii="宋体" w:hAnsi="宋体" w:cs="宋体"/>
        </w:rPr>
      </w:pPr>
      <w:r>
        <w:rPr>
          <w:rFonts w:hint="eastAsia" w:ascii="宋体" w:hAnsi="宋体" w:cs="宋体"/>
        </w:rPr>
        <w:t>根据《中华人民共和国政府采购法》、《中华人民共和国民法典》等法律、法规规定，按照</w:t>
      </w:r>
      <w:r>
        <w:rPr>
          <w:rFonts w:hint="eastAsia" w:ascii="宋体" w:hAnsi="宋体" w:cs="宋体"/>
          <w:lang w:val="en-US" w:eastAsia="zh-CN"/>
        </w:rPr>
        <w:t>采购</w:t>
      </w:r>
      <w:r>
        <w:rPr>
          <w:rFonts w:hint="eastAsia" w:ascii="宋体" w:hAnsi="宋体" w:cs="宋体"/>
        </w:rPr>
        <w:t>文件规定条款和</w:t>
      </w:r>
      <w:r>
        <w:rPr>
          <w:rFonts w:hint="eastAsia" w:ascii="宋体" w:hAnsi="宋体" w:cs="宋体"/>
          <w:lang w:val="en-US" w:eastAsia="zh-CN"/>
        </w:rPr>
        <w:t>竞标</w:t>
      </w:r>
      <w:r>
        <w:rPr>
          <w:rFonts w:hint="eastAsia" w:ascii="宋体" w:hAnsi="宋体" w:cs="宋体"/>
        </w:rPr>
        <w:t>文件、</w:t>
      </w:r>
      <w:r>
        <w:rPr>
          <w:rFonts w:hint="eastAsia" w:ascii="宋体" w:hAnsi="宋体" w:cs="宋体"/>
          <w:lang w:val="en-US" w:eastAsia="zh-CN"/>
        </w:rPr>
        <w:t>成交</w:t>
      </w:r>
      <w:r>
        <w:rPr>
          <w:rFonts w:hint="eastAsia" w:ascii="宋体" w:hAnsi="宋体" w:cs="宋体"/>
        </w:rPr>
        <w:t>供应商承诺，甲乙双方签订本合同。</w:t>
      </w:r>
    </w:p>
    <w:p>
      <w:pPr>
        <w:pStyle w:val="2"/>
        <w:snapToGrid w:val="0"/>
        <w:spacing w:line="440" w:lineRule="exact"/>
        <w:rPr>
          <w:rFonts w:ascii="宋体" w:hAnsi="宋体" w:cs="宋体"/>
          <w:b/>
          <w:bCs/>
        </w:rPr>
      </w:pPr>
      <w:r>
        <w:rPr>
          <w:rFonts w:hint="eastAsia" w:ascii="宋体" w:hAnsi="宋体" w:cs="宋体"/>
          <w:b/>
          <w:bCs/>
        </w:rPr>
        <w:t>第一条 合同标的</w:t>
      </w:r>
    </w:p>
    <w:p>
      <w:pPr>
        <w:pStyle w:val="2"/>
        <w:snapToGrid w:val="0"/>
        <w:spacing w:line="440" w:lineRule="exact"/>
        <w:ind w:left="420" w:leftChars="175"/>
        <w:rPr>
          <w:rFonts w:ascii="宋体" w:hAnsi="宋体" w:cs="宋体"/>
        </w:rPr>
      </w:pPr>
      <w:r>
        <w:rPr>
          <w:rFonts w:hint="eastAsia" w:ascii="宋体" w:hAnsi="宋体" w:cs="宋体"/>
        </w:rPr>
        <w:t>1.项目需求一览表</w:t>
      </w:r>
    </w:p>
    <w:tbl>
      <w:tblPr>
        <w:tblStyle w:val="25"/>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440"/>
        <w:gridCol w:w="2808"/>
        <w:gridCol w:w="960"/>
        <w:gridCol w:w="156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28" w:type="dxa"/>
            <w:vAlign w:val="center"/>
          </w:tcPr>
          <w:p>
            <w:pPr>
              <w:pStyle w:val="35"/>
              <w:snapToGrid w:val="0"/>
              <w:spacing w:line="440" w:lineRule="exact"/>
              <w:jc w:val="center"/>
            </w:pPr>
            <w:r>
              <w:rPr>
                <w:rFonts w:hint="eastAsia"/>
              </w:rPr>
              <w:t>序号</w:t>
            </w:r>
          </w:p>
        </w:tc>
        <w:tc>
          <w:tcPr>
            <w:tcW w:w="1440" w:type="dxa"/>
            <w:vAlign w:val="center"/>
          </w:tcPr>
          <w:p>
            <w:pPr>
              <w:pStyle w:val="35"/>
              <w:snapToGrid w:val="0"/>
              <w:spacing w:line="440" w:lineRule="exact"/>
              <w:jc w:val="center"/>
            </w:pPr>
            <w:r>
              <w:rPr>
                <w:rFonts w:hint="eastAsia"/>
              </w:rPr>
              <w:t>服务名称</w:t>
            </w:r>
          </w:p>
        </w:tc>
        <w:tc>
          <w:tcPr>
            <w:tcW w:w="2808" w:type="dxa"/>
            <w:vAlign w:val="center"/>
          </w:tcPr>
          <w:p>
            <w:pPr>
              <w:pStyle w:val="35"/>
              <w:snapToGrid w:val="0"/>
              <w:spacing w:line="440" w:lineRule="exact"/>
              <w:ind w:right="58"/>
              <w:jc w:val="center"/>
            </w:pPr>
            <w:r>
              <w:rPr>
                <w:rFonts w:hint="eastAsia"/>
              </w:rPr>
              <w:t>服务内容</w:t>
            </w:r>
          </w:p>
        </w:tc>
        <w:tc>
          <w:tcPr>
            <w:tcW w:w="960" w:type="dxa"/>
            <w:vAlign w:val="center"/>
          </w:tcPr>
          <w:p>
            <w:pPr>
              <w:pStyle w:val="35"/>
              <w:snapToGrid w:val="0"/>
              <w:spacing w:line="440" w:lineRule="exact"/>
              <w:jc w:val="center"/>
            </w:pPr>
            <w:r>
              <w:rPr>
                <w:rFonts w:hint="eastAsia"/>
              </w:rPr>
              <w:t>数量</w:t>
            </w:r>
          </w:p>
        </w:tc>
        <w:tc>
          <w:tcPr>
            <w:tcW w:w="1560" w:type="dxa"/>
            <w:vAlign w:val="center"/>
          </w:tcPr>
          <w:p>
            <w:pPr>
              <w:pStyle w:val="35"/>
              <w:snapToGrid w:val="0"/>
              <w:spacing w:line="440" w:lineRule="exact"/>
              <w:ind w:right="70"/>
              <w:jc w:val="center"/>
            </w:pPr>
            <w:r>
              <w:rPr>
                <w:rFonts w:hint="eastAsia"/>
              </w:rPr>
              <w:t>单价（元）</w:t>
            </w:r>
          </w:p>
        </w:tc>
        <w:tc>
          <w:tcPr>
            <w:tcW w:w="1800" w:type="dxa"/>
            <w:vAlign w:val="center"/>
          </w:tcPr>
          <w:p>
            <w:pPr>
              <w:pStyle w:val="35"/>
              <w:snapToGrid w:val="0"/>
              <w:spacing w:line="440" w:lineRule="exact"/>
              <w:ind w:right="125" w:rightChars="52"/>
              <w:jc w:val="center"/>
            </w:pPr>
            <w:r>
              <w:rPr>
                <w:rFonts w:hint="eastAsia"/>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28" w:type="dxa"/>
            <w:vAlign w:val="center"/>
          </w:tcPr>
          <w:p>
            <w:pPr>
              <w:pStyle w:val="35"/>
              <w:snapToGrid w:val="0"/>
              <w:spacing w:line="440" w:lineRule="exact"/>
              <w:ind w:firstLine="420" w:firstLineChars="175"/>
              <w:jc w:val="center"/>
            </w:pPr>
          </w:p>
        </w:tc>
        <w:tc>
          <w:tcPr>
            <w:tcW w:w="1440" w:type="dxa"/>
            <w:vAlign w:val="center"/>
          </w:tcPr>
          <w:p>
            <w:pPr>
              <w:pStyle w:val="35"/>
              <w:snapToGrid w:val="0"/>
              <w:spacing w:line="440" w:lineRule="exact"/>
              <w:ind w:firstLine="420" w:firstLineChars="175"/>
              <w:jc w:val="center"/>
            </w:pPr>
          </w:p>
        </w:tc>
        <w:tc>
          <w:tcPr>
            <w:tcW w:w="2808" w:type="dxa"/>
            <w:vAlign w:val="center"/>
          </w:tcPr>
          <w:p>
            <w:pPr>
              <w:pStyle w:val="35"/>
              <w:snapToGrid w:val="0"/>
              <w:spacing w:line="440" w:lineRule="exact"/>
              <w:ind w:firstLine="420" w:firstLineChars="175"/>
              <w:jc w:val="center"/>
            </w:pPr>
          </w:p>
        </w:tc>
        <w:tc>
          <w:tcPr>
            <w:tcW w:w="960" w:type="dxa"/>
            <w:vAlign w:val="center"/>
          </w:tcPr>
          <w:p>
            <w:pPr>
              <w:pStyle w:val="35"/>
              <w:snapToGrid w:val="0"/>
              <w:spacing w:line="440" w:lineRule="exact"/>
              <w:ind w:firstLine="420" w:firstLineChars="175"/>
              <w:jc w:val="center"/>
            </w:pPr>
          </w:p>
        </w:tc>
        <w:tc>
          <w:tcPr>
            <w:tcW w:w="1560" w:type="dxa"/>
            <w:vAlign w:val="center"/>
          </w:tcPr>
          <w:p>
            <w:pPr>
              <w:pStyle w:val="35"/>
              <w:snapToGrid w:val="0"/>
              <w:spacing w:line="440" w:lineRule="exact"/>
              <w:ind w:firstLine="420" w:firstLineChars="175"/>
              <w:jc w:val="center"/>
            </w:pPr>
          </w:p>
        </w:tc>
        <w:tc>
          <w:tcPr>
            <w:tcW w:w="1800" w:type="dxa"/>
            <w:vAlign w:val="center"/>
          </w:tcPr>
          <w:p>
            <w:pPr>
              <w:pStyle w:val="35"/>
              <w:snapToGrid w:val="0"/>
              <w:spacing w:line="440" w:lineRule="exact"/>
              <w:ind w:right="125" w:rightChars="52" w:firstLine="420" w:firstLineChars="175"/>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396" w:type="dxa"/>
            <w:gridSpan w:val="6"/>
            <w:vAlign w:val="center"/>
          </w:tcPr>
          <w:p>
            <w:pPr>
              <w:pStyle w:val="20"/>
              <w:snapToGrid w:val="0"/>
              <w:spacing w:after="0" w:line="440" w:lineRule="exact"/>
              <w:ind w:left="0" w:leftChars="0"/>
              <w:rPr>
                <w:rFonts w:ascii="宋体" w:hAnsi="宋体" w:cs="宋体"/>
                <w:sz w:val="24"/>
                <w:szCs w:val="24"/>
              </w:rPr>
            </w:pPr>
            <w:r>
              <w:rPr>
                <w:rFonts w:hint="eastAsia" w:ascii="宋体" w:hAnsi="宋体" w:cs="宋体"/>
                <w:sz w:val="24"/>
                <w:szCs w:val="24"/>
              </w:rPr>
              <w:t>合计金额：（大写）人民币</w:t>
            </w:r>
            <w:r>
              <w:rPr>
                <w:rFonts w:hint="eastAsia" w:ascii="宋体" w:hAnsi="宋体" w:cs="宋体"/>
                <w:sz w:val="24"/>
                <w:szCs w:val="24"/>
              </w:rPr>
              <w:tab/>
            </w:r>
            <w:r>
              <w:rPr>
                <w:rFonts w:hint="eastAsia" w:ascii="宋体" w:hAnsi="宋体" w:cs="宋体"/>
                <w:sz w:val="24"/>
                <w:szCs w:val="24"/>
              </w:rPr>
              <w:t>（小写）￥</w:t>
            </w:r>
          </w:p>
        </w:tc>
      </w:tr>
    </w:tbl>
    <w:p>
      <w:pPr>
        <w:pStyle w:val="2"/>
        <w:snapToGrid w:val="0"/>
        <w:spacing w:line="440" w:lineRule="exact"/>
        <w:ind w:firstLine="367" w:firstLineChars="175"/>
        <w:rPr>
          <w:rFonts w:ascii="宋体" w:hAnsi="宋体" w:cs="宋体"/>
        </w:rPr>
      </w:pPr>
      <w:r>
        <w:rPr>
          <w:rFonts w:hint="eastAsia" w:ascii="宋体" w:hAnsi="宋体" w:cs="宋体"/>
        </w:rPr>
        <w:t>2.合同合计金额包括为了实施和完成服务所需的各种费用及合同包含的所有风险、责任等各项应有的费用。如采购及竞标文件对其另有规定的，从其规定。</w:t>
      </w:r>
    </w:p>
    <w:p>
      <w:pPr>
        <w:pStyle w:val="2"/>
        <w:snapToGrid w:val="0"/>
        <w:spacing w:line="440" w:lineRule="exact"/>
        <w:ind w:firstLine="367" w:firstLineChars="175"/>
        <w:rPr>
          <w:rFonts w:ascii="宋体" w:hAnsi="宋体" w:cs="宋体"/>
        </w:rPr>
      </w:pPr>
      <w:r>
        <w:rPr>
          <w:rFonts w:hint="eastAsia" w:ascii="宋体" w:hAnsi="宋体" w:cs="宋体"/>
        </w:rPr>
        <w:t>3.交付使用期：</w:t>
      </w:r>
      <w:r>
        <w:rPr>
          <w:rFonts w:hint="eastAsia" w:ascii="宋体" w:hAnsi="宋体" w:cs="宋体"/>
          <w:u w:val="single"/>
        </w:rPr>
        <w:t xml:space="preserve">                     </w:t>
      </w:r>
      <w:r>
        <w:rPr>
          <w:rFonts w:hint="eastAsia" w:ascii="宋体" w:hAnsi="宋体" w:cs="宋体"/>
        </w:rPr>
        <w:t>。</w:t>
      </w:r>
    </w:p>
    <w:p>
      <w:pPr>
        <w:pStyle w:val="2"/>
        <w:snapToGrid w:val="0"/>
        <w:spacing w:line="440" w:lineRule="exact"/>
        <w:rPr>
          <w:rFonts w:ascii="宋体" w:hAnsi="宋体" w:cs="宋体"/>
          <w:b/>
          <w:bCs/>
        </w:rPr>
      </w:pPr>
      <w:r>
        <w:rPr>
          <w:rFonts w:hint="eastAsia" w:ascii="宋体" w:hAnsi="宋体" w:cs="宋体"/>
          <w:b/>
          <w:bCs/>
        </w:rPr>
        <w:t>第二条</w:t>
      </w:r>
      <w:r>
        <w:rPr>
          <w:rFonts w:hint="eastAsia" w:ascii="宋体" w:hAnsi="宋体" w:cs="宋体"/>
          <w:b/>
          <w:bCs/>
        </w:rPr>
        <w:tab/>
      </w:r>
      <w:r>
        <w:rPr>
          <w:rFonts w:hint="eastAsia" w:ascii="宋体" w:hAnsi="宋体" w:cs="宋体"/>
          <w:b/>
          <w:bCs/>
        </w:rPr>
        <w:t>质量保证</w:t>
      </w:r>
    </w:p>
    <w:p>
      <w:pPr>
        <w:pStyle w:val="2"/>
        <w:snapToGrid w:val="0"/>
        <w:spacing w:line="440" w:lineRule="exact"/>
        <w:ind w:firstLine="367" w:firstLineChars="175"/>
        <w:rPr>
          <w:rFonts w:ascii="宋体" w:hAnsi="宋体" w:cs="宋体"/>
        </w:rPr>
      </w:pPr>
      <w:r>
        <w:rPr>
          <w:rFonts w:hint="eastAsia" w:ascii="宋体" w:hAnsi="宋体" w:cs="宋体"/>
        </w:rPr>
        <w:t>乙方所提供的服务质量必须与招投标文件和承诺相一致。</w:t>
      </w:r>
    </w:p>
    <w:p>
      <w:pPr>
        <w:pStyle w:val="2"/>
        <w:snapToGrid w:val="0"/>
        <w:spacing w:line="440" w:lineRule="exact"/>
        <w:rPr>
          <w:rFonts w:ascii="宋体" w:hAnsi="宋体" w:cs="宋体"/>
          <w:b/>
          <w:bCs/>
        </w:rPr>
      </w:pPr>
      <w:r>
        <w:rPr>
          <w:rFonts w:hint="eastAsia" w:ascii="宋体" w:hAnsi="宋体" w:cs="宋体"/>
          <w:b/>
          <w:bCs/>
        </w:rPr>
        <w:t>第三条</w:t>
      </w:r>
      <w:r>
        <w:rPr>
          <w:rFonts w:hint="eastAsia" w:ascii="宋体" w:hAnsi="宋体" w:cs="宋体"/>
          <w:b/>
          <w:bCs/>
        </w:rPr>
        <w:tab/>
      </w:r>
      <w:r>
        <w:rPr>
          <w:rFonts w:hint="eastAsia" w:ascii="宋体" w:hAnsi="宋体" w:cs="宋体"/>
          <w:b/>
          <w:bCs/>
        </w:rPr>
        <w:t>权利保证</w:t>
      </w:r>
    </w:p>
    <w:p>
      <w:pPr>
        <w:pStyle w:val="2"/>
        <w:snapToGrid w:val="0"/>
        <w:spacing w:line="440" w:lineRule="exact"/>
        <w:ind w:firstLine="367" w:firstLineChars="175"/>
        <w:rPr>
          <w:rFonts w:ascii="宋体" w:hAnsi="宋体" w:cs="宋体"/>
        </w:rPr>
      </w:pPr>
      <w:r>
        <w:rPr>
          <w:rFonts w:hint="eastAsia" w:ascii="宋体" w:hAnsi="宋体" w:cs="宋体"/>
        </w:rPr>
        <w:t>没有甲方事先书面同意，乙方不得将由甲方提供的有关合同或任何合同条文、系统信息、硬件设备或资料提供给予履行本合同无关的任何其他人。即使向履行本合同有关的人员提供，也应注意保密并限于履行合同的必需范围。</w:t>
      </w:r>
    </w:p>
    <w:p>
      <w:pPr>
        <w:pStyle w:val="2"/>
        <w:snapToGrid w:val="0"/>
        <w:spacing w:line="440" w:lineRule="exact"/>
        <w:rPr>
          <w:rFonts w:ascii="宋体" w:hAnsi="宋体" w:cs="宋体"/>
        </w:rPr>
      </w:pPr>
      <w:r>
        <w:rPr>
          <w:rFonts w:hint="eastAsia" w:ascii="宋体" w:hAnsi="宋体" w:cs="宋体"/>
          <w:b/>
          <w:bCs/>
        </w:rPr>
        <w:t>第四条 服务内容及技术要求</w:t>
      </w:r>
      <w:r>
        <w:rPr>
          <w:rFonts w:hint="eastAsia" w:ascii="宋体" w:hAnsi="宋体" w:cs="宋体"/>
        </w:rPr>
        <w:t>：</w:t>
      </w:r>
    </w:p>
    <w:p>
      <w:pPr>
        <w:pStyle w:val="2"/>
        <w:snapToGrid w:val="0"/>
        <w:spacing w:line="440" w:lineRule="exact"/>
        <w:ind w:firstLine="367" w:firstLineChars="175"/>
        <w:rPr>
          <w:rFonts w:ascii="宋体" w:hAnsi="宋体" w:cs="宋体"/>
        </w:rPr>
      </w:pPr>
      <w:r>
        <w:rPr>
          <w:rFonts w:hint="eastAsia" w:ascii="宋体" w:hAnsi="宋体" w:cs="宋体"/>
        </w:rPr>
        <w:t>按《采购需求》内容执行。</w:t>
      </w:r>
    </w:p>
    <w:p>
      <w:pPr>
        <w:pStyle w:val="2"/>
        <w:snapToGrid w:val="0"/>
        <w:spacing w:line="440" w:lineRule="exact"/>
        <w:rPr>
          <w:rFonts w:ascii="宋体" w:hAnsi="宋体" w:cs="宋体"/>
          <w:b/>
          <w:bCs/>
        </w:rPr>
      </w:pPr>
      <w:r>
        <w:rPr>
          <w:rFonts w:hint="eastAsia" w:ascii="宋体" w:hAnsi="宋体" w:cs="宋体"/>
          <w:b/>
          <w:bCs/>
        </w:rPr>
        <w:t>第五条</w:t>
      </w:r>
      <w:r>
        <w:rPr>
          <w:rFonts w:hint="eastAsia" w:ascii="宋体" w:hAnsi="宋体" w:cs="宋体"/>
          <w:b/>
          <w:bCs/>
        </w:rPr>
        <w:tab/>
      </w:r>
      <w:r>
        <w:rPr>
          <w:rFonts w:hint="eastAsia" w:ascii="宋体" w:hAnsi="宋体" w:cs="宋体"/>
          <w:b/>
          <w:bCs/>
        </w:rPr>
        <w:t>付款方式</w:t>
      </w:r>
    </w:p>
    <w:p>
      <w:pPr>
        <w:pStyle w:val="2"/>
        <w:snapToGrid w:val="0"/>
        <w:spacing w:line="440" w:lineRule="exact"/>
        <w:ind w:firstLine="367" w:firstLineChars="175"/>
        <w:rPr>
          <w:rFonts w:ascii="宋体" w:hAnsi="宋体" w:cs="宋体"/>
        </w:rPr>
      </w:pPr>
      <w:r>
        <w:rPr>
          <w:rFonts w:hint="eastAsia" w:ascii="宋体" w:hAnsi="宋体" w:cs="宋体"/>
        </w:rPr>
        <w:t>1、资金性质：</w:t>
      </w:r>
      <w:r>
        <w:rPr>
          <w:rFonts w:hint="eastAsia" w:ascii="宋体" w:hAnsi="宋体" w:cs="宋体"/>
          <w:u w:val="single"/>
        </w:rPr>
        <w:t xml:space="preserve">               </w:t>
      </w:r>
      <w:r>
        <w:rPr>
          <w:rFonts w:hint="eastAsia" w:ascii="宋体" w:hAnsi="宋体" w:cs="宋体"/>
        </w:rPr>
        <w:t>。</w:t>
      </w:r>
    </w:p>
    <w:p>
      <w:pPr>
        <w:pStyle w:val="2"/>
        <w:snapToGrid w:val="0"/>
        <w:spacing w:line="440" w:lineRule="exact"/>
        <w:ind w:firstLine="367" w:firstLineChars="175"/>
        <w:rPr>
          <w:rFonts w:ascii="宋体" w:hAnsi="宋体" w:cs="宋体"/>
        </w:rPr>
      </w:pPr>
      <w:r>
        <w:rPr>
          <w:rFonts w:hint="eastAsia" w:ascii="宋体" w:hAnsi="宋体" w:cs="宋体"/>
        </w:rPr>
        <w:t>2、本合同总价格为：（大写）人民币</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元整（￥</w:t>
      </w:r>
      <w:r>
        <w:rPr>
          <w:rFonts w:hint="eastAsia" w:ascii="宋体" w:hAnsi="宋体" w:cs="宋体"/>
          <w:u w:val="single"/>
        </w:rPr>
        <w:t xml:space="preserve">           </w:t>
      </w:r>
      <w:r>
        <w:rPr>
          <w:rFonts w:hint="eastAsia" w:ascii="宋体" w:hAnsi="宋体" w:cs="宋体"/>
        </w:rPr>
        <w:t>元）。</w:t>
      </w:r>
    </w:p>
    <w:p>
      <w:pPr>
        <w:pStyle w:val="2"/>
        <w:snapToGrid w:val="0"/>
        <w:spacing w:line="440" w:lineRule="exact"/>
        <w:ind w:firstLine="367" w:firstLineChars="175"/>
        <w:rPr>
          <w:rFonts w:ascii="宋体" w:hAnsi="宋体" w:cs="宋体"/>
        </w:rPr>
      </w:pPr>
      <w:r>
        <w:rPr>
          <w:rFonts w:hint="eastAsia" w:ascii="宋体" w:hAnsi="宋体" w:cs="宋体"/>
        </w:rPr>
        <w:t>3、付款方式：签订合同后10日内，采购人支付合同金额的20%。项目安装调试完毕初步验收合格后，采购人支付合同金额的60%。项目实施全部完成经最终验收合格后，原则上在30天内支付余下合同金额的20%给</w:t>
      </w:r>
      <w:r>
        <w:rPr>
          <w:rFonts w:hint="eastAsia" w:ascii="宋体" w:hAnsi="宋体" w:cs="宋体"/>
          <w:lang w:val="en-US" w:eastAsia="zh-CN"/>
        </w:rPr>
        <w:t>成交供应商</w:t>
      </w:r>
      <w:r>
        <w:rPr>
          <w:rFonts w:hint="eastAsia" w:ascii="宋体" w:hAnsi="宋体" w:cs="宋体"/>
        </w:rPr>
        <w:t>。每次付款</w:t>
      </w:r>
      <w:r>
        <w:rPr>
          <w:rFonts w:hint="eastAsia" w:ascii="宋体" w:hAnsi="宋体" w:cs="宋体"/>
          <w:lang w:val="en-US" w:eastAsia="zh-CN"/>
        </w:rPr>
        <w:t>成交供应商</w:t>
      </w:r>
      <w:r>
        <w:rPr>
          <w:rFonts w:hint="eastAsia" w:ascii="宋体" w:hAnsi="宋体" w:cs="宋体"/>
        </w:rPr>
        <w:t>需向采购人提供等值合法正式有效的税务发票和付款通知书。</w:t>
      </w:r>
    </w:p>
    <w:p>
      <w:pPr>
        <w:pStyle w:val="2"/>
        <w:snapToGrid w:val="0"/>
        <w:spacing w:line="440" w:lineRule="exact"/>
        <w:rPr>
          <w:rFonts w:ascii="宋体" w:hAnsi="宋体" w:cs="宋体"/>
          <w:b/>
          <w:bCs/>
        </w:rPr>
      </w:pPr>
      <w:r>
        <w:rPr>
          <w:rFonts w:hint="eastAsia" w:ascii="宋体" w:hAnsi="宋体" w:cs="宋体"/>
          <w:b/>
          <w:bCs/>
        </w:rPr>
        <w:t>第六条 甲方的职责</w:t>
      </w:r>
    </w:p>
    <w:p>
      <w:pPr>
        <w:pStyle w:val="2"/>
        <w:snapToGrid w:val="0"/>
        <w:spacing w:line="440" w:lineRule="exact"/>
        <w:ind w:firstLine="367" w:firstLineChars="175"/>
        <w:rPr>
          <w:rFonts w:ascii="宋体" w:hAnsi="宋体" w:cs="宋体"/>
        </w:rPr>
      </w:pPr>
      <w:r>
        <w:rPr>
          <w:rFonts w:hint="eastAsia" w:ascii="宋体" w:hAnsi="宋体" w:cs="宋体"/>
        </w:rPr>
        <w:t>（一）合同执行过程中甲方项目监督成员有权定期和不定期的核对乙方的作业人员、评估服务情况。乙方不得随意撤换技术人员，否则视之为违约，按合同相关条款承担违约责任，同时乙方必须按合同有关规定继续履行合同；情节严重者，甲方有权解除合同。</w:t>
      </w:r>
    </w:p>
    <w:p>
      <w:pPr>
        <w:pStyle w:val="2"/>
        <w:snapToGrid w:val="0"/>
        <w:spacing w:line="440" w:lineRule="exact"/>
        <w:ind w:firstLine="367" w:firstLineChars="175"/>
        <w:rPr>
          <w:rFonts w:ascii="宋体" w:hAnsi="宋体" w:cs="宋体"/>
        </w:rPr>
      </w:pPr>
      <w:r>
        <w:rPr>
          <w:rFonts w:hint="eastAsia" w:ascii="宋体" w:hAnsi="宋体" w:cs="宋体"/>
        </w:rPr>
        <w:t>（二）甲方有计划地为乙方划定工作范围提供有关资料，特别是有关甲方对软件的功能和目标需求方面的信息、资料等，并定期和不定期地在工作中实行中进行质量检查和相关合同条款检查，如发现乙方出现违规违约行为的将按有关规定处理。</w:t>
      </w:r>
    </w:p>
    <w:p>
      <w:pPr>
        <w:pStyle w:val="2"/>
        <w:snapToGrid w:val="0"/>
        <w:spacing w:line="440" w:lineRule="exact"/>
        <w:ind w:firstLine="367" w:firstLineChars="175"/>
        <w:rPr>
          <w:rFonts w:ascii="宋体" w:hAnsi="宋体" w:cs="宋体"/>
        </w:rPr>
      </w:pPr>
      <w:r>
        <w:rPr>
          <w:rFonts w:hint="eastAsia" w:ascii="宋体" w:hAnsi="宋体" w:cs="宋体"/>
        </w:rPr>
        <w:t>（三）甲方应配合乙方正常开展工作提供工作便利。</w:t>
      </w:r>
    </w:p>
    <w:p>
      <w:pPr>
        <w:pStyle w:val="2"/>
        <w:snapToGrid w:val="0"/>
        <w:spacing w:line="440" w:lineRule="exact"/>
        <w:rPr>
          <w:rFonts w:ascii="宋体" w:hAnsi="宋体" w:cs="宋体"/>
          <w:b/>
          <w:bCs/>
        </w:rPr>
      </w:pPr>
      <w:r>
        <w:rPr>
          <w:rFonts w:hint="eastAsia" w:ascii="宋体" w:hAnsi="宋体" w:cs="宋体"/>
          <w:b/>
          <w:bCs/>
        </w:rPr>
        <w:t>第七条 乙方的职责</w:t>
      </w:r>
    </w:p>
    <w:p>
      <w:pPr>
        <w:pStyle w:val="2"/>
        <w:snapToGrid w:val="0"/>
        <w:spacing w:line="440" w:lineRule="exact"/>
        <w:ind w:firstLine="367" w:firstLineChars="175"/>
        <w:rPr>
          <w:rFonts w:ascii="宋体" w:hAnsi="宋体" w:cs="宋体"/>
        </w:rPr>
      </w:pPr>
      <w:r>
        <w:rPr>
          <w:rFonts w:hint="eastAsia" w:ascii="宋体" w:hAnsi="宋体" w:cs="宋体"/>
        </w:rPr>
        <w:t>（一）在服务工作过程中，严格按照项目实施方案的规范、规程、规定、图式等要求作业，确保项目建设及服务符合甲方的要求。</w:t>
      </w:r>
    </w:p>
    <w:p>
      <w:pPr>
        <w:pStyle w:val="2"/>
        <w:snapToGrid w:val="0"/>
        <w:spacing w:line="440" w:lineRule="exact"/>
        <w:ind w:firstLine="367" w:firstLineChars="175"/>
        <w:rPr>
          <w:rFonts w:ascii="宋体" w:hAnsi="宋体" w:cs="宋体"/>
        </w:rPr>
      </w:pPr>
      <w:r>
        <w:rPr>
          <w:rFonts w:hint="eastAsia" w:ascii="宋体" w:hAnsi="宋体" w:cs="宋体"/>
        </w:rPr>
        <w:t>（二）乙方必须接受甲方对合同执行的监督检查，并应严格按项目实施方案实施项目。对检查发现问题，乙方必须按甲方下达的书面意见进行整改，否则视之为违约，按合同相关条款承担违约责任，情节严重者，甲方有权解除合同。</w:t>
      </w:r>
    </w:p>
    <w:p>
      <w:pPr>
        <w:pStyle w:val="2"/>
        <w:snapToGrid w:val="0"/>
        <w:spacing w:line="440" w:lineRule="exact"/>
        <w:ind w:firstLine="367" w:firstLineChars="175"/>
        <w:rPr>
          <w:rFonts w:ascii="宋体" w:hAnsi="宋体" w:cs="宋体"/>
        </w:rPr>
      </w:pPr>
      <w:r>
        <w:rPr>
          <w:rFonts w:hint="eastAsia" w:ascii="宋体" w:hAnsi="宋体" w:cs="宋体"/>
        </w:rPr>
        <w:t>（三）乙方应自己负责合同执行期间实施人员的人身、设备安全责任，做到安全生产。</w:t>
      </w:r>
    </w:p>
    <w:p>
      <w:pPr>
        <w:pStyle w:val="2"/>
        <w:snapToGrid w:val="0"/>
        <w:spacing w:line="440" w:lineRule="exact"/>
        <w:ind w:firstLine="369" w:firstLineChars="175"/>
        <w:rPr>
          <w:rFonts w:ascii="宋体" w:hAnsi="宋体" w:cs="宋体"/>
          <w:b/>
          <w:bCs/>
        </w:rPr>
      </w:pPr>
      <w:r>
        <w:rPr>
          <w:rFonts w:hint="eastAsia" w:ascii="宋体" w:hAnsi="宋体" w:cs="宋体"/>
          <w:b/>
          <w:bCs/>
        </w:rPr>
        <w:t>（四）乙方为联合体的，联合体各方须严格按其提供的联合体协议书内容履行合同，不得随意更换联合体各方的工作职责，否则视之为违约，按合同相关条款承担违约责任，情节严重者，甲方有权解除合同。</w:t>
      </w:r>
    </w:p>
    <w:p>
      <w:pPr>
        <w:pStyle w:val="2"/>
        <w:snapToGrid w:val="0"/>
        <w:spacing w:line="440" w:lineRule="exact"/>
        <w:ind w:firstLine="367" w:firstLineChars="175"/>
        <w:rPr>
          <w:rFonts w:ascii="宋体" w:hAnsi="宋体" w:cs="宋体"/>
        </w:rPr>
      </w:pPr>
      <w:r>
        <w:rPr>
          <w:rFonts w:hint="eastAsia" w:ascii="宋体" w:hAnsi="宋体" w:cs="宋体"/>
        </w:rPr>
        <w:t xml:space="preserve">（五）在乙方所交付的软件系统中，不含任何可以自动终止或妨碍系统运作的软件。  </w:t>
      </w:r>
    </w:p>
    <w:p>
      <w:pPr>
        <w:pStyle w:val="2"/>
        <w:snapToGrid w:val="0"/>
        <w:spacing w:line="440" w:lineRule="exact"/>
        <w:rPr>
          <w:rFonts w:ascii="宋体" w:hAnsi="宋体" w:cs="宋体"/>
          <w:b/>
          <w:bCs/>
        </w:rPr>
      </w:pPr>
      <w:r>
        <w:rPr>
          <w:rFonts w:hint="eastAsia" w:ascii="宋体" w:hAnsi="宋体" w:cs="宋体"/>
          <w:b/>
          <w:bCs/>
        </w:rPr>
        <w:t>第八条</w:t>
      </w:r>
      <w:r>
        <w:rPr>
          <w:rFonts w:hint="eastAsia" w:ascii="宋体" w:hAnsi="宋体" w:cs="宋体"/>
          <w:b/>
          <w:bCs/>
        </w:rPr>
        <w:tab/>
      </w:r>
      <w:r>
        <w:rPr>
          <w:rFonts w:hint="eastAsia" w:ascii="宋体" w:hAnsi="宋体" w:cs="宋体"/>
          <w:b/>
          <w:bCs/>
        </w:rPr>
        <w:t>税费</w:t>
      </w:r>
    </w:p>
    <w:p>
      <w:pPr>
        <w:pStyle w:val="2"/>
        <w:snapToGrid w:val="0"/>
        <w:spacing w:line="440" w:lineRule="exact"/>
        <w:ind w:firstLine="367" w:firstLineChars="175"/>
        <w:rPr>
          <w:rFonts w:ascii="宋体" w:hAnsi="宋体" w:cs="宋体"/>
        </w:rPr>
      </w:pPr>
      <w:r>
        <w:rPr>
          <w:rFonts w:hint="eastAsia" w:ascii="宋体" w:hAnsi="宋体" w:cs="宋体"/>
        </w:rPr>
        <w:t xml:space="preserve">本合同执行中相关的一切税费均由乙方负担。 </w:t>
      </w:r>
    </w:p>
    <w:p>
      <w:pPr>
        <w:pStyle w:val="2"/>
        <w:snapToGrid w:val="0"/>
        <w:spacing w:line="440" w:lineRule="exact"/>
        <w:rPr>
          <w:rFonts w:ascii="宋体" w:hAnsi="宋体" w:cs="宋体"/>
          <w:b/>
          <w:bCs/>
        </w:rPr>
      </w:pPr>
      <w:r>
        <w:rPr>
          <w:rFonts w:hint="eastAsia" w:ascii="宋体" w:hAnsi="宋体" w:cs="宋体"/>
          <w:b/>
          <w:bCs/>
        </w:rPr>
        <w:t>第九条</w:t>
      </w:r>
      <w:r>
        <w:rPr>
          <w:rFonts w:hint="eastAsia" w:ascii="宋体" w:hAnsi="宋体" w:cs="宋体"/>
          <w:b/>
          <w:bCs/>
        </w:rPr>
        <w:tab/>
      </w:r>
      <w:r>
        <w:rPr>
          <w:rFonts w:hint="eastAsia" w:ascii="宋体" w:hAnsi="宋体" w:cs="宋体"/>
          <w:b/>
          <w:bCs/>
        </w:rPr>
        <w:t>验收</w:t>
      </w:r>
    </w:p>
    <w:p>
      <w:pPr>
        <w:widowControl/>
        <w:snapToGrid w:val="0"/>
        <w:spacing w:line="440" w:lineRule="exact"/>
        <w:ind w:firstLine="420" w:firstLineChars="175"/>
        <w:rPr>
          <w:rFonts w:ascii="宋体" w:hAnsi="宋体" w:cs="宋体"/>
          <w:bCs/>
        </w:rPr>
      </w:pPr>
      <w:r>
        <w:rPr>
          <w:rFonts w:hint="eastAsia" w:ascii="宋体" w:hAnsi="宋体" w:cs="宋体"/>
          <w:bCs/>
        </w:rPr>
        <w:t>1、本项目验收小组由甲方组织成立。验收小组成员组成由熟悉掌握该项目采购的技术人员（专家）、甲方相关管理人员、使用部门或单位专业人员、甲方采购项目的有关人员或受托采购的代理机构人员组成，明确验收小组的负责人，负责组织整个采购项目的验收工作。</w:t>
      </w:r>
    </w:p>
    <w:p>
      <w:pPr>
        <w:widowControl/>
        <w:snapToGrid w:val="0"/>
        <w:spacing w:line="440" w:lineRule="exact"/>
        <w:ind w:firstLine="420" w:firstLineChars="175"/>
        <w:rPr>
          <w:rFonts w:ascii="宋体" w:hAnsi="宋体" w:cs="宋体"/>
          <w:bCs/>
        </w:rPr>
      </w:pPr>
      <w:r>
        <w:rPr>
          <w:rFonts w:hint="eastAsia" w:ascii="宋体" w:hAnsi="宋体" w:cs="宋体"/>
          <w:bCs/>
        </w:rPr>
        <w:t>2、验收小组成员所产生的劳务费、检验费及相关发生的费用均由乙方承担。</w:t>
      </w:r>
    </w:p>
    <w:p>
      <w:pPr>
        <w:pStyle w:val="2"/>
        <w:snapToGrid w:val="0"/>
        <w:spacing w:line="440" w:lineRule="exact"/>
        <w:ind w:firstLine="367" w:firstLineChars="175"/>
        <w:rPr>
          <w:rFonts w:ascii="宋体" w:hAnsi="宋体" w:cs="宋体"/>
          <w:bCs/>
        </w:rPr>
      </w:pPr>
      <w:r>
        <w:rPr>
          <w:rFonts w:ascii="宋体" w:hAnsi="宋体" w:cs="宋体"/>
          <w:bCs/>
        </w:rPr>
        <w:t>3</w:t>
      </w:r>
      <w:r>
        <w:rPr>
          <w:rFonts w:hint="eastAsia" w:ascii="宋体" w:hAnsi="宋体" w:cs="宋体"/>
          <w:bCs/>
        </w:rPr>
        <w:t>、验收通过后，双方签署验收报告。</w:t>
      </w:r>
    </w:p>
    <w:p>
      <w:pPr>
        <w:pStyle w:val="2"/>
        <w:snapToGrid w:val="0"/>
        <w:spacing w:line="440" w:lineRule="exact"/>
        <w:rPr>
          <w:rFonts w:ascii="宋体" w:hAnsi="宋体" w:cs="宋体"/>
          <w:b/>
          <w:bCs/>
        </w:rPr>
      </w:pPr>
      <w:r>
        <w:rPr>
          <w:rFonts w:hint="eastAsia" w:ascii="宋体" w:hAnsi="宋体" w:cs="宋体"/>
          <w:b/>
          <w:bCs/>
        </w:rPr>
        <w:t>第十条</w:t>
      </w:r>
      <w:r>
        <w:rPr>
          <w:rFonts w:hint="eastAsia" w:ascii="宋体" w:hAnsi="宋体" w:cs="宋体"/>
          <w:b/>
          <w:bCs/>
        </w:rPr>
        <w:tab/>
      </w:r>
      <w:r>
        <w:rPr>
          <w:rFonts w:hint="eastAsia" w:ascii="宋体" w:hAnsi="宋体" w:cs="宋体"/>
          <w:b/>
          <w:bCs/>
        </w:rPr>
        <w:t>保密</w:t>
      </w:r>
    </w:p>
    <w:p>
      <w:pPr>
        <w:pStyle w:val="2"/>
        <w:snapToGrid w:val="0"/>
        <w:spacing w:line="440" w:lineRule="exact"/>
        <w:ind w:firstLine="367" w:firstLineChars="175"/>
        <w:rPr>
          <w:rFonts w:ascii="宋体" w:hAnsi="宋体" w:cs="宋体"/>
        </w:rPr>
      </w:pPr>
      <w:r>
        <w:rPr>
          <w:rFonts w:hint="eastAsia" w:ascii="宋体" w:hAnsi="宋体" w:cs="宋体"/>
        </w:rPr>
        <w:t>1、信息传递</w:t>
      </w:r>
    </w:p>
    <w:p>
      <w:pPr>
        <w:pStyle w:val="2"/>
        <w:snapToGrid w:val="0"/>
        <w:spacing w:line="440" w:lineRule="exact"/>
        <w:ind w:firstLine="367" w:firstLineChars="175"/>
        <w:rPr>
          <w:rFonts w:ascii="宋体" w:hAnsi="宋体" w:cs="宋体"/>
        </w:rPr>
      </w:pPr>
      <w:r>
        <w:rPr>
          <w:rFonts w:hint="eastAsia" w:ascii="宋体" w:hAnsi="宋体" w:cs="宋体"/>
        </w:rPr>
        <w:t>在本合同的履行期内，任何一方可以获得与本项目相关的对方的商业秘密，对此双方皆应谨慎地进行披露和接受。</w:t>
      </w:r>
    </w:p>
    <w:p>
      <w:pPr>
        <w:pStyle w:val="2"/>
        <w:snapToGrid w:val="0"/>
        <w:spacing w:line="440" w:lineRule="exact"/>
        <w:ind w:firstLine="367" w:firstLineChars="175"/>
        <w:rPr>
          <w:rFonts w:ascii="宋体" w:hAnsi="宋体" w:cs="宋体"/>
        </w:rPr>
      </w:pPr>
      <w:r>
        <w:rPr>
          <w:rFonts w:hint="eastAsia" w:ascii="宋体" w:hAnsi="宋体" w:cs="宋体"/>
        </w:rPr>
        <w:t>2、保密</w:t>
      </w:r>
    </w:p>
    <w:p>
      <w:pPr>
        <w:pStyle w:val="2"/>
        <w:snapToGrid w:val="0"/>
        <w:spacing w:line="440" w:lineRule="exact"/>
        <w:ind w:firstLine="367" w:firstLineChars="175"/>
        <w:rPr>
          <w:rFonts w:ascii="宋体" w:hAnsi="宋体" w:cs="宋体"/>
        </w:rPr>
      </w:pPr>
      <w:r>
        <w:rPr>
          <w:rFonts w:hint="eastAsia" w:ascii="宋体" w:hAnsi="宋体" w:cs="宋体"/>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服务期限内不得对外披露。</w:t>
      </w:r>
    </w:p>
    <w:p>
      <w:pPr>
        <w:pStyle w:val="2"/>
        <w:snapToGrid w:val="0"/>
        <w:spacing w:line="440" w:lineRule="exact"/>
        <w:ind w:firstLine="367" w:firstLineChars="175"/>
        <w:rPr>
          <w:rFonts w:ascii="宋体" w:hAnsi="宋体" w:cs="宋体"/>
        </w:rPr>
      </w:pPr>
      <w:r>
        <w:rPr>
          <w:rFonts w:hint="eastAsia" w:ascii="宋体" w:hAnsi="宋体" w:cs="宋体"/>
        </w:rPr>
        <w:t>3、上述保密义务不适用以下情况：</w:t>
      </w:r>
    </w:p>
    <w:p>
      <w:pPr>
        <w:pStyle w:val="2"/>
        <w:numPr>
          <w:ilvl w:val="0"/>
          <w:numId w:val="4"/>
        </w:numPr>
        <w:snapToGrid w:val="0"/>
        <w:spacing w:line="440" w:lineRule="exact"/>
        <w:ind w:firstLine="420" w:firstLineChars="200"/>
        <w:rPr>
          <w:rFonts w:ascii="宋体" w:hAnsi="宋体" w:cs="宋体"/>
        </w:rPr>
      </w:pPr>
      <w:r>
        <w:rPr>
          <w:rFonts w:hint="eastAsia" w:ascii="宋体" w:hAnsi="宋体" w:cs="宋体"/>
        </w:rPr>
        <w:t>获取该信息一方在对方披露之前，已经知晓该信息；</w:t>
      </w:r>
    </w:p>
    <w:p>
      <w:pPr>
        <w:pStyle w:val="2"/>
        <w:numPr>
          <w:ilvl w:val="0"/>
          <w:numId w:val="4"/>
        </w:numPr>
        <w:snapToGrid w:val="0"/>
        <w:spacing w:line="440" w:lineRule="exact"/>
        <w:ind w:firstLine="420" w:firstLineChars="200"/>
        <w:rPr>
          <w:rFonts w:ascii="宋体" w:hAnsi="宋体" w:cs="宋体"/>
        </w:rPr>
      </w:pPr>
      <w:r>
        <w:rPr>
          <w:rFonts w:hint="eastAsia" w:ascii="宋体" w:hAnsi="宋体" w:cs="宋体"/>
        </w:rPr>
        <w:t>获取该信息一方可以通过合法渠道获取该信息；</w:t>
      </w:r>
    </w:p>
    <w:p>
      <w:pPr>
        <w:pStyle w:val="2"/>
        <w:numPr>
          <w:ilvl w:val="0"/>
          <w:numId w:val="4"/>
        </w:numPr>
        <w:snapToGrid w:val="0"/>
        <w:spacing w:line="440" w:lineRule="exact"/>
        <w:ind w:firstLine="420" w:firstLineChars="200"/>
        <w:rPr>
          <w:rFonts w:ascii="宋体" w:hAnsi="宋体" w:cs="宋体"/>
        </w:rPr>
      </w:pPr>
      <w:r>
        <w:rPr>
          <w:rFonts w:hint="eastAsia" w:ascii="宋体" w:hAnsi="宋体" w:cs="宋体"/>
        </w:rPr>
        <w:t>获取该信息一方从第三人处合法获取，并且不承担保密义务；</w:t>
      </w:r>
    </w:p>
    <w:p>
      <w:pPr>
        <w:pStyle w:val="2"/>
        <w:numPr>
          <w:ilvl w:val="0"/>
          <w:numId w:val="4"/>
        </w:numPr>
        <w:snapToGrid w:val="0"/>
        <w:spacing w:line="440" w:lineRule="exact"/>
        <w:ind w:firstLine="420" w:firstLineChars="200"/>
        <w:rPr>
          <w:rFonts w:ascii="宋体" w:hAnsi="宋体" w:cs="宋体"/>
        </w:rPr>
      </w:pPr>
      <w:r>
        <w:rPr>
          <w:rFonts w:hint="eastAsia" w:ascii="宋体" w:hAnsi="宋体" w:cs="宋体"/>
        </w:rPr>
        <w:t>向第三人披露过的，且第三人不承担保密义务；</w:t>
      </w:r>
    </w:p>
    <w:p>
      <w:pPr>
        <w:pStyle w:val="2"/>
        <w:numPr>
          <w:ilvl w:val="0"/>
          <w:numId w:val="4"/>
        </w:numPr>
        <w:snapToGrid w:val="0"/>
        <w:spacing w:line="440" w:lineRule="exact"/>
        <w:ind w:firstLine="420" w:firstLineChars="200"/>
        <w:rPr>
          <w:rFonts w:ascii="宋体" w:hAnsi="宋体" w:cs="宋体"/>
        </w:rPr>
      </w:pPr>
      <w:r>
        <w:rPr>
          <w:rFonts w:hint="eastAsia" w:ascii="宋体" w:hAnsi="宋体" w:cs="宋体"/>
        </w:rPr>
        <w:t>独立开发或获取的信息；</w:t>
      </w:r>
    </w:p>
    <w:p>
      <w:pPr>
        <w:pStyle w:val="2"/>
        <w:numPr>
          <w:ilvl w:val="0"/>
          <w:numId w:val="4"/>
        </w:numPr>
        <w:snapToGrid w:val="0"/>
        <w:spacing w:line="440" w:lineRule="exact"/>
        <w:ind w:firstLine="420" w:firstLineChars="200"/>
        <w:rPr>
          <w:rFonts w:ascii="宋体" w:hAnsi="宋体" w:cs="宋体"/>
        </w:rPr>
      </w:pPr>
      <w:r>
        <w:rPr>
          <w:rFonts w:hint="eastAsia" w:ascii="宋体" w:hAnsi="宋体" w:cs="宋体"/>
        </w:rPr>
        <w:t>法律强制披露；</w:t>
      </w:r>
    </w:p>
    <w:p>
      <w:pPr>
        <w:pStyle w:val="2"/>
        <w:numPr>
          <w:ilvl w:val="0"/>
          <w:numId w:val="4"/>
        </w:numPr>
        <w:snapToGrid w:val="0"/>
        <w:spacing w:line="440" w:lineRule="exact"/>
        <w:ind w:firstLine="420" w:firstLineChars="200"/>
        <w:rPr>
          <w:rFonts w:ascii="宋体" w:hAnsi="宋体" w:cs="宋体"/>
        </w:rPr>
      </w:pPr>
      <w:r>
        <w:rPr>
          <w:rFonts w:hint="eastAsia" w:ascii="宋体" w:hAnsi="宋体" w:cs="宋体"/>
        </w:rPr>
        <w:t>经披露方书面许可。</w:t>
      </w:r>
    </w:p>
    <w:p>
      <w:pPr>
        <w:pStyle w:val="2"/>
        <w:snapToGrid w:val="0"/>
        <w:spacing w:line="440" w:lineRule="exact"/>
        <w:ind w:firstLine="367" w:firstLineChars="175"/>
        <w:rPr>
          <w:rFonts w:ascii="宋体" w:hAnsi="宋体" w:cs="宋体"/>
        </w:rPr>
      </w:pPr>
      <w:r>
        <w:rPr>
          <w:rFonts w:hint="eastAsia" w:ascii="宋体" w:hAnsi="宋体" w:cs="宋体"/>
        </w:rPr>
        <w:t>4、信息安全</w:t>
      </w:r>
    </w:p>
    <w:p>
      <w:pPr>
        <w:pStyle w:val="2"/>
        <w:snapToGrid w:val="0"/>
        <w:spacing w:line="440" w:lineRule="exact"/>
        <w:ind w:firstLine="367" w:firstLineChars="175"/>
        <w:rPr>
          <w:rFonts w:ascii="宋体" w:hAnsi="宋体" w:cs="宋体"/>
        </w:rPr>
      </w:pPr>
      <w:r>
        <w:rPr>
          <w:rFonts w:hint="eastAsia" w:ascii="宋体" w:hAnsi="宋体" w:cs="宋体"/>
        </w:rPr>
        <w:t>甲、乙双方同意采取相应的安全措施以遵守和履行上述条款所规定的义务，并在乙方在交付项目前，必须与甲方签订保密协议。经一方的合理请求，该方可以检查对方所采取的安全措施是否符合上述规定的义务。</w:t>
      </w:r>
    </w:p>
    <w:p>
      <w:pPr>
        <w:pStyle w:val="2"/>
        <w:snapToGrid w:val="0"/>
        <w:spacing w:line="440" w:lineRule="exact"/>
        <w:rPr>
          <w:rFonts w:ascii="宋体" w:hAnsi="宋体" w:cs="宋体"/>
          <w:b/>
          <w:bCs/>
        </w:rPr>
      </w:pPr>
      <w:r>
        <w:rPr>
          <w:rFonts w:hint="eastAsia" w:ascii="宋体" w:hAnsi="宋体" w:cs="宋体"/>
          <w:b/>
          <w:bCs/>
        </w:rPr>
        <w:t>第十一条</w:t>
      </w:r>
      <w:r>
        <w:rPr>
          <w:rFonts w:hint="eastAsia" w:ascii="宋体" w:hAnsi="宋体" w:cs="宋体"/>
          <w:b/>
          <w:bCs/>
        </w:rPr>
        <w:tab/>
      </w:r>
      <w:r>
        <w:rPr>
          <w:rFonts w:hint="eastAsia" w:ascii="宋体" w:hAnsi="宋体" w:cs="宋体"/>
          <w:b/>
          <w:bCs/>
        </w:rPr>
        <w:t>违约责任</w:t>
      </w:r>
    </w:p>
    <w:p>
      <w:pPr>
        <w:pStyle w:val="2"/>
        <w:snapToGrid w:val="0"/>
        <w:spacing w:line="440" w:lineRule="exact"/>
        <w:ind w:firstLine="367" w:firstLineChars="175"/>
        <w:rPr>
          <w:rFonts w:ascii="宋体" w:hAnsi="宋体" w:cs="宋体"/>
        </w:rPr>
      </w:pPr>
      <w:r>
        <w:rPr>
          <w:rFonts w:hint="eastAsia" w:ascii="宋体" w:hAnsi="宋体" w:cs="宋体"/>
        </w:rPr>
        <w:t>1、乙方所提供的技术标准、服务等质量不合格的，应及时调整，调整不及时的按逾期提供服务处罚；因质量问题甲方不同意接收的或特殊情况甲方不同意接收的，乙方应按违约款额</w:t>
      </w:r>
      <w:r>
        <w:rPr>
          <w:rFonts w:ascii="宋体" w:hAnsi="宋体" w:cs="宋体"/>
        </w:rPr>
        <w:t>5</w:t>
      </w:r>
      <w:r>
        <w:rPr>
          <w:rFonts w:hint="eastAsia" w:ascii="宋体" w:hAnsi="宋体" w:cs="宋体"/>
        </w:rPr>
        <w:t>%向甲方支付违约金并赔偿甲方经济损失。</w:t>
      </w:r>
    </w:p>
    <w:p>
      <w:pPr>
        <w:pStyle w:val="2"/>
        <w:snapToGrid w:val="0"/>
        <w:spacing w:line="440" w:lineRule="exact"/>
        <w:ind w:firstLine="367" w:firstLineChars="175"/>
        <w:rPr>
          <w:rFonts w:ascii="宋体" w:hAnsi="宋体" w:cs="宋体"/>
        </w:rPr>
      </w:pPr>
      <w:r>
        <w:rPr>
          <w:rFonts w:hint="eastAsia" w:ascii="宋体" w:hAnsi="宋体" w:cs="宋体"/>
        </w:rPr>
        <w:t>2、甲方应在项目完工三十个工作日内，配合乙方完成验收和项目服务交付。乙方逾期交付使用的，每天向对方偿付合同金额3‰的违约金，但违约金累计不得超过合同金额的5%。</w:t>
      </w:r>
    </w:p>
    <w:p>
      <w:pPr>
        <w:pStyle w:val="2"/>
        <w:snapToGrid w:val="0"/>
        <w:spacing w:line="440" w:lineRule="exact"/>
        <w:ind w:firstLine="367" w:firstLineChars="175"/>
        <w:rPr>
          <w:rFonts w:ascii="宋体" w:hAnsi="宋体" w:cs="宋体"/>
        </w:rPr>
      </w:pPr>
      <w:r>
        <w:rPr>
          <w:rFonts w:ascii="宋体" w:hAnsi="宋体" w:cs="宋体"/>
        </w:rPr>
        <w:t>3</w:t>
      </w:r>
      <w:r>
        <w:rPr>
          <w:rFonts w:hint="eastAsia" w:ascii="宋体" w:hAnsi="宋体" w:cs="宋体"/>
        </w:rPr>
        <w:t>、乙方提供的服务如侵犯了第三方合法权益而引发的任何纠纷或诉讼，均由乙方负责交涉并承担全部责任。</w:t>
      </w:r>
    </w:p>
    <w:p>
      <w:pPr>
        <w:pStyle w:val="2"/>
        <w:snapToGrid w:val="0"/>
        <w:spacing w:line="440" w:lineRule="exact"/>
        <w:ind w:firstLine="367" w:firstLineChars="175"/>
        <w:rPr>
          <w:rFonts w:ascii="宋体" w:hAnsi="宋体" w:cs="宋体"/>
        </w:rPr>
      </w:pPr>
      <w:r>
        <w:rPr>
          <w:rFonts w:ascii="宋体" w:hAnsi="宋体" w:cs="宋体"/>
        </w:rPr>
        <w:t>4</w:t>
      </w:r>
      <w:r>
        <w:rPr>
          <w:rFonts w:hint="eastAsia" w:ascii="宋体" w:hAnsi="宋体" w:cs="宋体"/>
        </w:rPr>
        <w:t>、其它违约责任按《中华人民共和国民法典》处理。</w:t>
      </w:r>
    </w:p>
    <w:p>
      <w:pPr>
        <w:pStyle w:val="2"/>
        <w:snapToGrid w:val="0"/>
        <w:spacing w:line="440" w:lineRule="exact"/>
        <w:ind w:firstLine="367" w:firstLineChars="175"/>
        <w:rPr>
          <w:rFonts w:ascii="宋体" w:hAnsi="宋体" w:cs="宋体"/>
        </w:rPr>
      </w:pPr>
      <w:r>
        <w:rPr>
          <w:rFonts w:ascii="宋体" w:hAnsi="宋体" w:cs="宋体"/>
        </w:rPr>
        <w:t>5</w:t>
      </w:r>
      <w:r>
        <w:rPr>
          <w:rFonts w:hint="eastAsia" w:ascii="宋体" w:hAnsi="宋体" w:cs="宋体"/>
        </w:rPr>
        <w:t>、因某一方原因导致变更、中止或者终止政府采购合同的，该方应当对另两方受到的损失予以赔偿或者补偿。</w:t>
      </w:r>
    </w:p>
    <w:p>
      <w:pPr>
        <w:pStyle w:val="2"/>
        <w:snapToGrid w:val="0"/>
        <w:spacing w:line="440" w:lineRule="exact"/>
        <w:rPr>
          <w:rFonts w:ascii="宋体" w:hAnsi="宋体" w:cs="宋体"/>
          <w:b/>
          <w:bCs/>
        </w:rPr>
      </w:pPr>
      <w:r>
        <w:rPr>
          <w:rFonts w:hint="eastAsia" w:ascii="宋体" w:hAnsi="宋体" w:cs="宋体"/>
          <w:b/>
          <w:bCs/>
        </w:rPr>
        <w:t>第十二条</w:t>
      </w:r>
      <w:r>
        <w:rPr>
          <w:rFonts w:hint="eastAsia" w:ascii="宋体" w:hAnsi="宋体" w:cs="宋体"/>
          <w:b/>
          <w:bCs/>
        </w:rPr>
        <w:tab/>
      </w:r>
      <w:r>
        <w:rPr>
          <w:rFonts w:hint="eastAsia" w:ascii="宋体" w:hAnsi="宋体" w:cs="宋体"/>
          <w:b/>
          <w:bCs/>
        </w:rPr>
        <w:t>不可抗力事件处理</w:t>
      </w:r>
    </w:p>
    <w:p>
      <w:pPr>
        <w:pStyle w:val="2"/>
        <w:snapToGrid w:val="0"/>
        <w:spacing w:line="440" w:lineRule="exact"/>
        <w:ind w:firstLine="367" w:firstLineChars="175"/>
        <w:rPr>
          <w:rFonts w:ascii="宋体" w:hAnsi="宋体" w:cs="宋体"/>
        </w:rPr>
      </w:pPr>
      <w:r>
        <w:rPr>
          <w:rFonts w:hint="eastAsia" w:ascii="宋体" w:hAnsi="宋体" w:cs="宋体"/>
        </w:rPr>
        <w:t>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pStyle w:val="2"/>
        <w:snapToGrid w:val="0"/>
        <w:spacing w:line="440" w:lineRule="exact"/>
        <w:ind w:firstLine="367" w:firstLineChars="175"/>
        <w:rPr>
          <w:rFonts w:ascii="宋体" w:hAnsi="宋体" w:cs="宋体"/>
        </w:rPr>
      </w:pPr>
      <w:r>
        <w:rPr>
          <w:rFonts w:hint="eastAsia" w:ascii="宋体" w:hAnsi="宋体" w:cs="宋体"/>
        </w:rPr>
        <w:t>2、受到不可抗力影响的一方，应尽可能地采取合理的行为和适当的措施减轻不可抗力对本合同的履行所造成的影响。没有采取适当措施致使损失扩大的，该方不得就扩大损失的部分要求免责或赔偿。</w:t>
      </w:r>
    </w:p>
    <w:p>
      <w:pPr>
        <w:pStyle w:val="2"/>
        <w:snapToGrid w:val="0"/>
        <w:spacing w:line="440" w:lineRule="exact"/>
        <w:rPr>
          <w:rFonts w:ascii="宋体" w:hAnsi="宋体" w:cs="宋体"/>
          <w:b/>
          <w:bCs/>
        </w:rPr>
      </w:pPr>
      <w:r>
        <w:rPr>
          <w:rFonts w:hint="eastAsia" w:ascii="宋体" w:hAnsi="宋体" w:cs="宋体"/>
          <w:b/>
          <w:bCs/>
        </w:rPr>
        <w:t>第十三条</w:t>
      </w:r>
      <w:r>
        <w:rPr>
          <w:rFonts w:hint="eastAsia" w:ascii="宋体" w:hAnsi="宋体" w:cs="宋体"/>
          <w:b/>
          <w:bCs/>
        </w:rPr>
        <w:tab/>
      </w:r>
      <w:r>
        <w:rPr>
          <w:rFonts w:hint="eastAsia" w:ascii="宋体" w:hAnsi="宋体" w:cs="宋体"/>
          <w:b/>
          <w:bCs/>
        </w:rPr>
        <w:t>合同争议解决</w:t>
      </w:r>
    </w:p>
    <w:p>
      <w:pPr>
        <w:pStyle w:val="2"/>
        <w:snapToGrid w:val="0"/>
        <w:spacing w:line="440" w:lineRule="exact"/>
        <w:ind w:firstLine="367" w:firstLineChars="175"/>
        <w:rPr>
          <w:rFonts w:ascii="宋体" w:hAnsi="宋体" w:cs="宋体"/>
        </w:rPr>
      </w:pPr>
      <w:r>
        <w:rPr>
          <w:rFonts w:hint="eastAsia" w:ascii="宋体" w:hAnsi="宋体" w:cs="宋体"/>
        </w:rPr>
        <w:t>1、因履行本合同引起的或与本合同有关的争议，甲乙双方应首先通过友好协商解决，如果协商不能解决，向甲方所在地的人民法院提起诉讼；</w:t>
      </w:r>
    </w:p>
    <w:p>
      <w:pPr>
        <w:pStyle w:val="2"/>
        <w:snapToGrid w:val="0"/>
        <w:spacing w:line="440" w:lineRule="exact"/>
        <w:ind w:firstLine="367" w:firstLineChars="175"/>
        <w:rPr>
          <w:rFonts w:ascii="宋体" w:hAnsi="宋体" w:cs="宋体"/>
        </w:rPr>
      </w:pPr>
      <w:r>
        <w:rPr>
          <w:rFonts w:hint="eastAsia" w:ascii="宋体" w:hAnsi="宋体" w:cs="宋体"/>
        </w:rPr>
        <w:t>2、如对任何争议进行仲裁或向人民法院提起诉讼，除争议事项或争议事项所涉及的条款外，双方应继续履行本合同项下的其它义务。</w:t>
      </w:r>
    </w:p>
    <w:p>
      <w:pPr>
        <w:pStyle w:val="2"/>
        <w:snapToGrid w:val="0"/>
        <w:spacing w:line="440" w:lineRule="exact"/>
        <w:ind w:firstLine="367" w:firstLineChars="175"/>
        <w:rPr>
          <w:rFonts w:ascii="宋体" w:hAnsi="宋体" w:cs="宋体"/>
        </w:rPr>
      </w:pPr>
      <w:r>
        <w:rPr>
          <w:rFonts w:hint="eastAsia" w:ascii="宋体" w:hAnsi="宋体" w:cs="宋体"/>
        </w:rPr>
        <w:t>3、诉讼期间，本合同继续履行。</w:t>
      </w:r>
    </w:p>
    <w:p>
      <w:pPr>
        <w:pStyle w:val="2"/>
        <w:snapToGrid w:val="0"/>
        <w:spacing w:line="440" w:lineRule="exact"/>
        <w:rPr>
          <w:rFonts w:ascii="宋体" w:hAnsi="宋体" w:cs="宋体"/>
          <w:b/>
          <w:bCs/>
        </w:rPr>
      </w:pPr>
      <w:r>
        <w:rPr>
          <w:rFonts w:hint="eastAsia" w:ascii="宋体" w:hAnsi="宋体" w:cs="宋体"/>
          <w:b/>
          <w:bCs/>
        </w:rPr>
        <w:t>第十四条</w:t>
      </w:r>
      <w:r>
        <w:rPr>
          <w:rFonts w:hint="eastAsia" w:ascii="宋体" w:hAnsi="宋体" w:cs="宋体"/>
          <w:b/>
          <w:bCs/>
        </w:rPr>
        <w:tab/>
      </w:r>
      <w:r>
        <w:rPr>
          <w:rFonts w:hint="eastAsia" w:ascii="宋体" w:hAnsi="宋体" w:cs="宋体"/>
          <w:b/>
          <w:bCs/>
        </w:rPr>
        <w:t>送达条款</w:t>
      </w:r>
    </w:p>
    <w:p>
      <w:pPr>
        <w:pStyle w:val="2"/>
        <w:snapToGrid w:val="0"/>
        <w:spacing w:line="440" w:lineRule="exact"/>
        <w:ind w:firstLine="367" w:firstLineChars="175"/>
        <w:rPr>
          <w:rFonts w:ascii="宋体" w:hAnsi="宋体" w:cs="宋体"/>
        </w:rPr>
      </w:pPr>
      <w:r>
        <w:rPr>
          <w:rFonts w:hint="eastAsia" w:ascii="宋体" w:hAnsi="宋体" w:cs="宋体"/>
        </w:rPr>
        <w:t>双方就合同中涉及各类通知、协议等文件以及就合同发生纠纷时相关文件和法律文书送达时的送达地址及法律后果作如下约定：</w:t>
      </w:r>
    </w:p>
    <w:p>
      <w:pPr>
        <w:pStyle w:val="2"/>
        <w:snapToGrid w:val="0"/>
        <w:spacing w:line="440" w:lineRule="exact"/>
        <w:ind w:firstLine="367" w:firstLineChars="175"/>
        <w:rPr>
          <w:rFonts w:ascii="宋体" w:hAnsi="宋体" w:cs="宋体"/>
        </w:rPr>
      </w:pPr>
      <w:r>
        <w:rPr>
          <w:rFonts w:hint="eastAsia" w:ascii="宋体" w:hAnsi="宋体" w:cs="宋体"/>
        </w:rPr>
        <w:t>1、双方确认，本合同落款处注明的各方单位地址为送达地址。</w:t>
      </w:r>
    </w:p>
    <w:p>
      <w:pPr>
        <w:pStyle w:val="2"/>
        <w:snapToGrid w:val="0"/>
        <w:spacing w:line="440" w:lineRule="exact"/>
        <w:ind w:firstLine="367" w:firstLineChars="175"/>
        <w:rPr>
          <w:rFonts w:ascii="宋体" w:hAnsi="宋体" w:cs="宋体"/>
        </w:rPr>
      </w:pPr>
      <w:r>
        <w:rPr>
          <w:rFonts w:hint="eastAsia" w:ascii="宋体" w:hAnsi="宋体" w:cs="宋体"/>
        </w:rPr>
        <w:t>2、双方该送达地址适用范围包括双方非诉时各类通知、协议等文件以及就合同发生纠纷时相关文件和法律文书的送达，同时包括在争议进入仲裁、民事诉讼程序后的一审、二审、再审和执行程序。</w:t>
      </w:r>
    </w:p>
    <w:p>
      <w:pPr>
        <w:pStyle w:val="2"/>
        <w:snapToGrid w:val="0"/>
        <w:spacing w:line="440" w:lineRule="exact"/>
        <w:ind w:firstLine="367" w:firstLineChars="175"/>
        <w:rPr>
          <w:rFonts w:ascii="宋体" w:hAnsi="宋体" w:cs="宋体"/>
        </w:rPr>
      </w:pPr>
      <w:r>
        <w:rPr>
          <w:rFonts w:hint="eastAsia" w:ascii="宋体" w:hAnsi="宋体" w:cs="宋体"/>
        </w:rPr>
        <w:t>3、任何一方的送达地址需要变更时应当履行通知义务，通过书面的方式向对方进行通知。</w:t>
      </w:r>
    </w:p>
    <w:p>
      <w:pPr>
        <w:pStyle w:val="2"/>
        <w:snapToGrid w:val="0"/>
        <w:spacing w:line="440" w:lineRule="exact"/>
        <w:ind w:firstLine="367" w:firstLineChars="175"/>
        <w:rPr>
          <w:rFonts w:ascii="宋体" w:hAnsi="宋体" w:cs="宋体"/>
        </w:rPr>
      </w:pPr>
      <w:r>
        <w:rPr>
          <w:rFonts w:hint="eastAsia" w:ascii="宋体" w:hAnsi="宋体" w:cs="宋体"/>
        </w:rPr>
        <w:t>在仲裁及民事诉讼程序时任一方地址变更时应当向仲裁机构、法院履行送达地址变更通知义务。</w:t>
      </w:r>
    </w:p>
    <w:p>
      <w:pPr>
        <w:pStyle w:val="2"/>
        <w:snapToGrid w:val="0"/>
        <w:spacing w:line="440" w:lineRule="exact"/>
        <w:ind w:firstLine="367" w:firstLineChars="175"/>
        <w:rPr>
          <w:rFonts w:ascii="宋体" w:hAnsi="宋体" w:cs="宋体"/>
        </w:rPr>
      </w:pPr>
      <w:r>
        <w:rPr>
          <w:rFonts w:hint="eastAsia" w:ascii="宋体" w:hAnsi="宋体" w:cs="宋体"/>
        </w:rPr>
        <w:t>任何一方未按前述方式履行通知义务，双方所确认的送达地址仍视为有效送达地址，因一方提供或者确认的送达地址不准确、送达地址变更后未及时依程序告知对方和法院、或拒绝签收等原因，导致各类通知、协议等文件、法律文书未能被实际接收的，邮寄送达的，以文书退回之日视为送达之日；直接送达的，送达人当场在送达回证上记明情况之日视为送达之日；履行送达地址变更通知义务的，以变更后的送达地址为有效送达地址。对于上述双方在合同中明确约定的送达地址，法院进行送达时可直接邮寄送达，即使其未能收到法院邮寄送达的文书，由于其在合同中的约定，也应当视为送达。</w:t>
      </w:r>
    </w:p>
    <w:p>
      <w:pPr>
        <w:pStyle w:val="2"/>
        <w:snapToGrid w:val="0"/>
        <w:spacing w:line="440" w:lineRule="exact"/>
        <w:ind w:firstLine="367" w:firstLineChars="175"/>
        <w:rPr>
          <w:rFonts w:ascii="宋体" w:hAnsi="宋体" w:cs="宋体"/>
        </w:rPr>
      </w:pPr>
      <w:r>
        <w:rPr>
          <w:rFonts w:hint="eastAsia" w:ascii="宋体" w:hAnsi="宋体" w:cs="宋体"/>
        </w:rPr>
        <w:t>4、纠纷进入仲裁、民事诉讼程序后，如其应诉并直接向仲裁机构、法院提交送达地址确认书，该确认地址与诉前确认的送达地址不一致的，以向仲裁机构、法院提交确认的送达地址为准。</w:t>
      </w:r>
    </w:p>
    <w:p>
      <w:pPr>
        <w:pStyle w:val="2"/>
        <w:snapToGrid w:val="0"/>
        <w:spacing w:line="440" w:lineRule="exact"/>
        <w:ind w:firstLine="367" w:firstLineChars="175"/>
        <w:rPr>
          <w:rFonts w:ascii="宋体" w:hAnsi="宋体" w:cs="宋体"/>
        </w:rPr>
      </w:pPr>
      <w:r>
        <w:rPr>
          <w:rFonts w:hint="eastAsia" w:ascii="宋体" w:hAnsi="宋体" w:cs="宋体"/>
        </w:rPr>
        <w:t>5、合同送达条款为独立条款，不受合同整体或其他条款的效力的影响。</w:t>
      </w:r>
    </w:p>
    <w:p>
      <w:pPr>
        <w:pStyle w:val="2"/>
        <w:snapToGrid w:val="0"/>
        <w:spacing w:line="440" w:lineRule="exact"/>
        <w:rPr>
          <w:rFonts w:ascii="宋体" w:hAnsi="宋体" w:cs="宋体"/>
          <w:b/>
          <w:bCs/>
        </w:rPr>
      </w:pPr>
      <w:r>
        <w:rPr>
          <w:rFonts w:hint="eastAsia" w:ascii="宋体" w:hAnsi="宋体" w:cs="宋体"/>
          <w:b/>
          <w:bCs/>
        </w:rPr>
        <w:t>第十五条</w:t>
      </w:r>
      <w:r>
        <w:rPr>
          <w:rFonts w:hint="eastAsia" w:ascii="宋体" w:hAnsi="宋体" w:cs="宋体"/>
          <w:b/>
          <w:bCs/>
        </w:rPr>
        <w:tab/>
      </w:r>
      <w:r>
        <w:rPr>
          <w:rFonts w:hint="eastAsia" w:ascii="宋体" w:hAnsi="宋体" w:cs="宋体"/>
          <w:b/>
          <w:bCs/>
        </w:rPr>
        <w:t>合同生效及其它</w:t>
      </w:r>
    </w:p>
    <w:p>
      <w:pPr>
        <w:pStyle w:val="2"/>
        <w:snapToGrid w:val="0"/>
        <w:spacing w:line="440" w:lineRule="exact"/>
        <w:ind w:firstLine="367" w:firstLineChars="175"/>
        <w:rPr>
          <w:rFonts w:ascii="宋体" w:hAnsi="宋体" w:cs="宋体"/>
        </w:rPr>
      </w:pPr>
      <w:r>
        <w:rPr>
          <w:rFonts w:hint="eastAsia" w:ascii="宋体" w:hAnsi="宋体" w:cs="宋体"/>
        </w:rPr>
        <w:t>1、合同经双方法定代表人或授权代表签字并加盖单位公章后生效。</w:t>
      </w:r>
    </w:p>
    <w:p>
      <w:pPr>
        <w:pStyle w:val="2"/>
        <w:snapToGrid w:val="0"/>
        <w:spacing w:line="440" w:lineRule="exact"/>
        <w:ind w:firstLine="367" w:firstLineChars="175"/>
        <w:rPr>
          <w:rFonts w:ascii="宋体" w:hAnsi="宋体" w:cs="宋体"/>
        </w:rPr>
      </w:pPr>
      <w:r>
        <w:rPr>
          <w:rFonts w:hint="eastAsia" w:ascii="宋体" w:hAnsi="宋体" w:cs="宋体"/>
        </w:rPr>
        <w:t>2、合同执行中涉及采购资金和采购内容修改或补充的，须经财政部门审批，并签订书面补充协议报财政部门备案，方可作为主合同不可分割的一部分。</w:t>
      </w:r>
    </w:p>
    <w:p>
      <w:pPr>
        <w:pStyle w:val="2"/>
        <w:snapToGrid w:val="0"/>
        <w:spacing w:line="440" w:lineRule="exact"/>
        <w:ind w:firstLine="367" w:firstLineChars="175"/>
        <w:rPr>
          <w:rFonts w:ascii="宋体" w:hAnsi="宋体" w:cs="宋体"/>
        </w:rPr>
      </w:pPr>
      <w:r>
        <w:rPr>
          <w:rFonts w:hint="eastAsia" w:ascii="宋体" w:hAnsi="宋体" w:cs="宋体"/>
        </w:rPr>
        <w:t xml:space="preserve">3、本合同未尽事宜，遵照《中华人民共和国民法典》有关条文执行。  </w:t>
      </w:r>
    </w:p>
    <w:p>
      <w:pPr>
        <w:pStyle w:val="2"/>
        <w:snapToGrid w:val="0"/>
        <w:spacing w:line="440" w:lineRule="exact"/>
        <w:rPr>
          <w:rFonts w:ascii="宋体" w:hAnsi="宋体" w:cs="宋体"/>
          <w:b/>
          <w:bCs/>
        </w:rPr>
      </w:pPr>
      <w:r>
        <w:rPr>
          <w:rFonts w:hint="eastAsia" w:ascii="宋体" w:hAnsi="宋体" w:cs="宋体"/>
          <w:b/>
          <w:bCs/>
        </w:rPr>
        <w:t>第十六条</w:t>
      </w:r>
      <w:r>
        <w:rPr>
          <w:rFonts w:hint="eastAsia" w:ascii="宋体" w:hAnsi="宋体" w:cs="宋体"/>
          <w:b/>
          <w:bCs/>
        </w:rPr>
        <w:tab/>
      </w:r>
      <w:r>
        <w:rPr>
          <w:rFonts w:hint="eastAsia" w:ascii="宋体" w:hAnsi="宋体" w:cs="宋体"/>
          <w:b/>
          <w:bCs/>
        </w:rPr>
        <w:t>合同的变更、终止与转让</w:t>
      </w:r>
    </w:p>
    <w:p>
      <w:pPr>
        <w:pStyle w:val="2"/>
        <w:snapToGrid w:val="0"/>
        <w:spacing w:line="440" w:lineRule="exact"/>
        <w:ind w:firstLine="367" w:firstLineChars="175"/>
        <w:rPr>
          <w:rFonts w:ascii="宋体" w:hAnsi="宋体" w:cs="宋体"/>
        </w:rPr>
      </w:pPr>
      <w:r>
        <w:rPr>
          <w:rFonts w:hint="eastAsia" w:ascii="宋体" w:hAnsi="宋体" w:cs="宋体"/>
        </w:rPr>
        <w:t>1、除《中华人民共和国政府采购法》第五十条规定的情形外，本合同一经签订，甲乙双方不得擅自变更、中止或终止。</w:t>
      </w:r>
    </w:p>
    <w:p>
      <w:pPr>
        <w:pStyle w:val="2"/>
        <w:snapToGrid w:val="0"/>
        <w:spacing w:line="440" w:lineRule="exact"/>
        <w:ind w:firstLine="367" w:firstLineChars="175"/>
        <w:rPr>
          <w:rFonts w:ascii="宋体" w:hAnsi="宋体" w:cs="宋体"/>
        </w:rPr>
      </w:pPr>
      <w:r>
        <w:rPr>
          <w:rFonts w:hint="eastAsia" w:ascii="宋体" w:hAnsi="宋体" w:cs="宋体"/>
        </w:rPr>
        <w:t>2、乙方不得擅自转让其应履行的合同义务。</w:t>
      </w:r>
    </w:p>
    <w:p>
      <w:pPr>
        <w:pStyle w:val="2"/>
        <w:snapToGrid w:val="0"/>
        <w:spacing w:line="440" w:lineRule="exact"/>
        <w:ind w:firstLine="367" w:firstLineChars="175"/>
        <w:rPr>
          <w:rFonts w:ascii="宋体" w:hAnsi="宋体" w:cs="宋体"/>
        </w:rPr>
      </w:pPr>
      <w:r>
        <w:rPr>
          <w:rFonts w:hint="eastAsia" w:ascii="宋体" w:hAnsi="宋体" w:cs="宋体"/>
        </w:rPr>
        <w:t>3、合同经双方法定代表人或授权代表签字并加盖单位公章后生效。</w:t>
      </w:r>
    </w:p>
    <w:p>
      <w:pPr>
        <w:pStyle w:val="2"/>
        <w:snapToGrid w:val="0"/>
        <w:spacing w:line="440" w:lineRule="exact"/>
        <w:ind w:firstLine="367" w:firstLineChars="175"/>
        <w:rPr>
          <w:rFonts w:ascii="宋体" w:hAnsi="宋体" w:cs="宋体"/>
        </w:rPr>
      </w:pPr>
      <w:r>
        <w:rPr>
          <w:rFonts w:hint="eastAsia" w:ascii="宋体" w:hAnsi="宋体" w:cs="宋体"/>
        </w:rPr>
        <w:t>4、合同执行中涉及采购资金和采购内容修改或补充的，须经财政部门审批，并签书面补充协议报财政   部门备案，方可作为主合同不可分割的一部分。</w:t>
      </w:r>
    </w:p>
    <w:p>
      <w:pPr>
        <w:pStyle w:val="2"/>
        <w:snapToGrid w:val="0"/>
        <w:spacing w:line="440" w:lineRule="exact"/>
        <w:ind w:firstLine="367" w:firstLineChars="175"/>
        <w:rPr>
          <w:rFonts w:ascii="宋体" w:hAnsi="宋体" w:cs="宋体"/>
        </w:rPr>
      </w:pPr>
      <w:r>
        <w:rPr>
          <w:rFonts w:hint="eastAsia" w:ascii="宋体" w:hAnsi="宋体" w:cs="宋体"/>
        </w:rPr>
        <w:t xml:space="preserve">5、本合同未尽事宜，遵照《中华人民共和国民法典》有关条文执行。  </w:t>
      </w:r>
    </w:p>
    <w:p>
      <w:pPr>
        <w:pStyle w:val="2"/>
        <w:snapToGrid w:val="0"/>
        <w:spacing w:line="440" w:lineRule="exact"/>
        <w:rPr>
          <w:rFonts w:ascii="宋体" w:hAnsi="宋体" w:cs="宋体"/>
          <w:b/>
          <w:bCs/>
        </w:rPr>
      </w:pPr>
      <w:r>
        <w:rPr>
          <w:rFonts w:hint="eastAsia" w:ascii="宋体" w:hAnsi="宋体" w:cs="宋体"/>
          <w:b/>
          <w:bCs/>
        </w:rPr>
        <w:t>第十七条</w:t>
      </w:r>
      <w:r>
        <w:rPr>
          <w:rFonts w:hint="eastAsia" w:ascii="宋体" w:hAnsi="宋体" w:cs="宋体"/>
          <w:b/>
          <w:bCs/>
        </w:rPr>
        <w:tab/>
      </w:r>
      <w:r>
        <w:rPr>
          <w:rFonts w:hint="eastAsia" w:ascii="宋体" w:hAnsi="宋体" w:cs="宋体"/>
          <w:b/>
          <w:bCs/>
        </w:rPr>
        <w:t>签订本合同依据</w:t>
      </w:r>
    </w:p>
    <w:p>
      <w:pPr>
        <w:pStyle w:val="2"/>
        <w:snapToGrid w:val="0"/>
        <w:spacing w:line="440" w:lineRule="exact"/>
        <w:ind w:firstLine="367" w:firstLineChars="175"/>
        <w:rPr>
          <w:rFonts w:ascii="宋体" w:hAnsi="宋体" w:cs="宋体"/>
        </w:rPr>
      </w:pPr>
      <w:r>
        <w:rPr>
          <w:rFonts w:hint="eastAsia" w:ascii="宋体" w:hAnsi="宋体" w:cs="宋体"/>
        </w:rPr>
        <w:t>1、政府采购招标文件；2、乙方提供的投标文件；3、投标承诺书；4、</w:t>
      </w:r>
      <w:r>
        <w:rPr>
          <w:rFonts w:hint="eastAsia" w:ascii="宋体" w:hAnsi="宋体" w:cs="宋体"/>
          <w:lang w:val="en-US" w:eastAsia="zh-CN"/>
        </w:rPr>
        <w:t>成交</w:t>
      </w:r>
      <w:r>
        <w:rPr>
          <w:rFonts w:hint="eastAsia" w:ascii="宋体" w:hAnsi="宋体" w:cs="宋体"/>
        </w:rPr>
        <w:t>通知书。</w:t>
      </w:r>
    </w:p>
    <w:p>
      <w:pPr>
        <w:pStyle w:val="2"/>
        <w:snapToGrid w:val="0"/>
        <w:spacing w:line="440" w:lineRule="exact"/>
        <w:rPr>
          <w:rFonts w:ascii="宋体" w:hAnsi="宋体" w:cs="宋体"/>
          <w:b/>
          <w:bCs/>
        </w:rPr>
      </w:pPr>
      <w:r>
        <w:rPr>
          <w:rFonts w:hint="eastAsia" w:ascii="宋体" w:hAnsi="宋体" w:cs="宋体"/>
          <w:b/>
          <w:bCs/>
        </w:rPr>
        <w:t>第十八条</w:t>
      </w:r>
      <w:r>
        <w:rPr>
          <w:rFonts w:hint="eastAsia" w:ascii="宋体" w:hAnsi="宋体" w:cs="宋体"/>
          <w:b/>
          <w:bCs/>
        </w:rPr>
        <w:tab/>
      </w:r>
      <w:r>
        <w:rPr>
          <w:rFonts w:hint="eastAsia" w:ascii="宋体" w:hAnsi="宋体" w:cs="宋体"/>
          <w:b/>
          <w:bCs/>
        </w:rPr>
        <w:t>合同份数</w:t>
      </w:r>
    </w:p>
    <w:p>
      <w:pPr>
        <w:pStyle w:val="2"/>
        <w:snapToGrid w:val="0"/>
        <w:spacing w:line="440" w:lineRule="exact"/>
        <w:ind w:firstLine="367" w:firstLineChars="175"/>
        <w:rPr>
          <w:rFonts w:ascii="宋体" w:hAnsi="宋体" w:cs="宋体"/>
        </w:rPr>
      </w:pP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份，具有同等法律效力，财政部门（政府采购监管部门）</w:t>
      </w:r>
      <w:r>
        <w:rPr>
          <w:rFonts w:hint="eastAsia" w:ascii="宋体" w:hAnsi="宋体" w:cs="宋体"/>
          <w:u w:val="single"/>
        </w:rPr>
        <w:t xml:space="preserve">   </w:t>
      </w:r>
      <w:r>
        <w:rPr>
          <w:rFonts w:hint="eastAsia" w:ascii="宋体" w:hAnsi="宋体" w:cs="宋体"/>
        </w:rPr>
        <w:t>份、采购代理机构</w:t>
      </w:r>
      <w:r>
        <w:rPr>
          <w:rFonts w:hint="eastAsia" w:ascii="宋体" w:hAnsi="宋体" w:cs="宋体"/>
          <w:u w:val="single"/>
        </w:rPr>
        <w:t xml:space="preserve">   </w:t>
      </w:r>
      <w:r>
        <w:rPr>
          <w:rFonts w:hint="eastAsia" w:ascii="宋体" w:hAnsi="宋体" w:cs="宋体"/>
        </w:rPr>
        <w:t>份，甲方</w:t>
      </w:r>
      <w:r>
        <w:rPr>
          <w:rFonts w:hint="eastAsia" w:ascii="宋体" w:hAnsi="宋体" w:cs="宋体"/>
          <w:u w:val="single"/>
        </w:rPr>
        <w:t xml:space="preserve">   </w:t>
      </w:r>
      <w:r>
        <w:rPr>
          <w:rFonts w:hint="eastAsia" w:ascii="宋体" w:hAnsi="宋体" w:cs="宋体"/>
        </w:rPr>
        <w:t>份，乙方</w:t>
      </w:r>
      <w:r>
        <w:rPr>
          <w:rFonts w:hint="eastAsia" w:ascii="宋体" w:hAnsi="宋体" w:cs="宋体"/>
          <w:u w:val="single"/>
        </w:rPr>
        <w:t xml:space="preserve">   </w:t>
      </w:r>
      <w:r>
        <w:rPr>
          <w:rFonts w:hint="eastAsia" w:ascii="宋体" w:hAnsi="宋体" w:cs="宋体"/>
        </w:rPr>
        <w:t>份（可根据需要另增加）。</w:t>
      </w:r>
    </w:p>
    <w:p>
      <w:pPr>
        <w:pStyle w:val="2"/>
        <w:snapToGrid w:val="0"/>
        <w:spacing w:line="440" w:lineRule="exact"/>
        <w:ind w:firstLine="367" w:firstLineChars="175"/>
        <w:rPr>
          <w:rFonts w:ascii="宋体" w:hAnsi="宋体" w:cs="宋体"/>
          <w:b/>
          <w:sz w:val="21"/>
        </w:rPr>
      </w:pPr>
      <w:r>
        <w:rPr>
          <w:rFonts w:hint="eastAsia" w:ascii="宋体" w:hAnsi="宋体" w:cs="宋体"/>
        </w:rPr>
        <w:t>本合同甲乙双方签字盖章后生效，自签订之日起七个工作日内，甲方或采购代理机构应当将合同副本报同级财政部门备案。</w:t>
      </w:r>
    </w:p>
    <w:p>
      <w:pPr>
        <w:snapToGrid w:val="0"/>
        <w:spacing w:line="400" w:lineRule="exact"/>
        <w:jc w:val="center"/>
        <w:rPr>
          <w:rFonts w:ascii="宋体" w:hAnsi="宋体" w:cs="宋体"/>
          <w:bCs/>
          <w:sz w:val="32"/>
          <w:szCs w:val="32"/>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甲方（章）</w:t>
            </w:r>
          </w:p>
          <w:p>
            <w:pPr>
              <w:snapToGrid w:val="0"/>
              <w:spacing w:line="400" w:lineRule="exact"/>
              <w:rPr>
                <w:rFonts w:ascii="宋体" w:hAnsi="宋体" w:cs="宋体"/>
              </w:rPr>
            </w:pPr>
          </w:p>
          <w:p>
            <w:pPr>
              <w:snapToGrid w:val="0"/>
              <w:spacing w:line="400" w:lineRule="exact"/>
              <w:ind w:firstLine="1080" w:firstLineChars="450"/>
              <w:rPr>
                <w:rFonts w:ascii="宋体" w:hAnsi="宋体" w:cs="宋体"/>
              </w:rPr>
            </w:pPr>
            <w:r>
              <w:rPr>
                <w:rFonts w:hint="eastAsia" w:ascii="宋体" w:hAnsi="宋体" w:cs="宋体"/>
              </w:rPr>
              <w:t>年   月   日</w:t>
            </w:r>
          </w:p>
        </w:tc>
        <w:tc>
          <w:tcPr>
            <w:tcW w:w="4734" w:type="dxa"/>
            <w:vAlign w:val="center"/>
          </w:tcPr>
          <w:p>
            <w:pPr>
              <w:snapToGrid w:val="0"/>
              <w:spacing w:line="400" w:lineRule="exact"/>
              <w:rPr>
                <w:rFonts w:ascii="宋体" w:hAnsi="宋体" w:cs="宋体"/>
              </w:rPr>
            </w:pPr>
            <w:r>
              <w:rPr>
                <w:rFonts w:hint="eastAsia" w:ascii="宋体" w:hAnsi="宋体" w:cs="宋体"/>
              </w:rPr>
              <w:t>乙方（章）</w:t>
            </w:r>
          </w:p>
          <w:p>
            <w:pPr>
              <w:snapToGrid w:val="0"/>
              <w:spacing w:line="400" w:lineRule="exact"/>
              <w:rPr>
                <w:rFonts w:ascii="宋体" w:hAnsi="宋体" w:cs="宋体"/>
              </w:rPr>
            </w:pPr>
          </w:p>
          <w:p>
            <w:pPr>
              <w:snapToGrid w:val="0"/>
              <w:spacing w:line="400" w:lineRule="exact"/>
              <w:rPr>
                <w:rFonts w:ascii="宋体" w:hAnsi="宋体" w:cs="宋体"/>
              </w:rPr>
            </w:pPr>
            <w:r>
              <w:rPr>
                <w:rFonts w:hint="eastAsia" w:ascii="宋体" w:hAnsi="宋体" w:cs="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单位地址：</w:t>
            </w:r>
          </w:p>
        </w:tc>
        <w:tc>
          <w:tcPr>
            <w:tcW w:w="4734" w:type="dxa"/>
            <w:vAlign w:val="center"/>
          </w:tcPr>
          <w:p>
            <w:pPr>
              <w:snapToGrid w:val="0"/>
              <w:spacing w:line="400" w:lineRule="exact"/>
              <w:rPr>
                <w:rFonts w:ascii="宋体" w:hAns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法定代表人：</w:t>
            </w:r>
          </w:p>
        </w:tc>
        <w:tc>
          <w:tcPr>
            <w:tcW w:w="4734" w:type="dxa"/>
            <w:vAlign w:val="center"/>
          </w:tcPr>
          <w:p>
            <w:pPr>
              <w:snapToGrid w:val="0"/>
              <w:spacing w:line="400" w:lineRule="exact"/>
              <w:rPr>
                <w:rFonts w:ascii="宋体" w:hAnsi="宋体" w:cs="宋体"/>
              </w:rPr>
            </w:pPr>
            <w:r>
              <w:rPr>
                <w:rFonts w:hint="eastAsia" w:ascii="宋体" w:hAnsi="宋体" w:cs="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委托代理人：</w:t>
            </w:r>
          </w:p>
        </w:tc>
        <w:tc>
          <w:tcPr>
            <w:tcW w:w="4734" w:type="dxa"/>
            <w:vAlign w:val="center"/>
          </w:tcPr>
          <w:p>
            <w:pPr>
              <w:snapToGrid w:val="0"/>
              <w:spacing w:line="400" w:lineRule="exact"/>
              <w:rPr>
                <w:rFonts w:ascii="宋体" w:hAnsi="宋体" w:cs="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电话：</w:t>
            </w:r>
          </w:p>
        </w:tc>
        <w:tc>
          <w:tcPr>
            <w:tcW w:w="4734" w:type="dxa"/>
            <w:vAlign w:val="center"/>
          </w:tcPr>
          <w:p>
            <w:pPr>
              <w:snapToGrid w:val="0"/>
              <w:spacing w:line="400" w:lineRule="exact"/>
              <w:rPr>
                <w:rFonts w:ascii="宋体" w:hAns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电子邮箱：</w:t>
            </w:r>
          </w:p>
        </w:tc>
        <w:tc>
          <w:tcPr>
            <w:tcW w:w="4734" w:type="dxa"/>
            <w:vAlign w:val="center"/>
          </w:tcPr>
          <w:p>
            <w:pPr>
              <w:snapToGrid w:val="0"/>
              <w:spacing w:line="400" w:lineRule="exact"/>
              <w:rPr>
                <w:rFonts w:ascii="宋体" w:hAnsi="宋体" w:cs="宋体"/>
              </w:rPr>
            </w:pP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开户银行：</w:t>
            </w:r>
          </w:p>
        </w:tc>
        <w:tc>
          <w:tcPr>
            <w:tcW w:w="4734" w:type="dxa"/>
            <w:vAlign w:val="center"/>
          </w:tcPr>
          <w:p>
            <w:pPr>
              <w:snapToGrid w:val="0"/>
              <w:spacing w:line="400" w:lineRule="exact"/>
              <w:rPr>
                <w:rFonts w:ascii="宋体" w:hAnsi="宋体" w:cs="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账号：</w:t>
            </w:r>
          </w:p>
        </w:tc>
        <w:tc>
          <w:tcPr>
            <w:tcW w:w="4734" w:type="dxa"/>
            <w:vAlign w:val="center"/>
          </w:tcPr>
          <w:p>
            <w:pPr>
              <w:snapToGrid w:val="0"/>
              <w:spacing w:line="400" w:lineRule="exact"/>
              <w:rPr>
                <w:rFonts w:ascii="宋体" w:hAnsi="宋体" w:cs="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34" w:type="dxa"/>
            <w:vAlign w:val="center"/>
          </w:tcPr>
          <w:p>
            <w:pPr>
              <w:snapToGrid w:val="0"/>
              <w:spacing w:line="400" w:lineRule="exact"/>
              <w:rPr>
                <w:rFonts w:ascii="宋体" w:hAnsi="宋体" w:cs="宋体"/>
              </w:rPr>
            </w:pPr>
            <w:r>
              <w:rPr>
                <w:rFonts w:hint="eastAsia" w:ascii="宋体" w:hAnsi="宋体" w:cs="宋体"/>
              </w:rPr>
              <w:t>邮政编码：</w:t>
            </w:r>
          </w:p>
        </w:tc>
        <w:tc>
          <w:tcPr>
            <w:tcW w:w="4734" w:type="dxa"/>
            <w:vAlign w:val="center"/>
          </w:tcPr>
          <w:p>
            <w:pPr>
              <w:snapToGrid w:val="0"/>
              <w:spacing w:line="400" w:lineRule="exact"/>
              <w:rPr>
                <w:rFonts w:ascii="宋体" w:hAnsi="宋体" w:cs="宋体"/>
              </w:rPr>
            </w:pPr>
            <w:r>
              <w:rPr>
                <w:rFonts w:hint="eastAsia" w:ascii="宋体" w:hAnsi="宋体" w:cs="宋体"/>
              </w:rPr>
              <w:t>邮政编码：</w:t>
            </w:r>
          </w:p>
        </w:tc>
      </w:tr>
    </w:tbl>
    <w:p>
      <w:pPr>
        <w:spacing w:line="340" w:lineRule="exact"/>
        <w:rPr>
          <w:rFonts w:ascii="宋体" w:hAnsi="宋体" w:cs="宋体"/>
          <w:b/>
          <w:bCs/>
          <w:szCs w:val="21"/>
        </w:rPr>
      </w:pPr>
    </w:p>
    <w:p>
      <w:pPr>
        <w:snapToGrid w:val="0"/>
        <w:spacing w:line="360" w:lineRule="exact"/>
        <w:rPr>
          <w:rFonts w:ascii="宋体" w:hAnsi="宋体" w:cs="宋体"/>
          <w:b/>
          <w:sz w:val="32"/>
          <w:szCs w:val="32"/>
        </w:rPr>
      </w:pPr>
    </w:p>
    <w:p>
      <w:pPr>
        <w:spacing w:line="360" w:lineRule="auto"/>
        <w:jc w:val="center"/>
        <w:rPr>
          <w:rFonts w:ascii="宋体" w:hAnsi="宋体" w:cs="宋体"/>
          <w:b/>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广西壮族自治区政府采购项目</w:t>
      </w:r>
      <w:r>
        <w:rPr>
          <w:rFonts w:hint="eastAsia" w:ascii="宋体" w:hAnsi="宋体" w:cs="宋体"/>
          <w:b/>
          <w:kern w:val="0"/>
          <w:sz w:val="32"/>
          <w:szCs w:val="32"/>
        </w:rPr>
        <w:t>合同验收书（格式）</w:t>
      </w:r>
    </w:p>
    <w:p>
      <w:pPr>
        <w:spacing w:line="340" w:lineRule="exact"/>
        <w:ind w:firstLine="480" w:firstLineChars="200"/>
        <w:rPr>
          <w:rFonts w:ascii="宋体" w:hAnsi="宋体" w:cs="宋体"/>
          <w:kern w:val="0"/>
          <w:szCs w:val="21"/>
        </w:rPr>
      </w:pPr>
      <w:r>
        <w:rPr>
          <w:rFonts w:hint="eastAsia" w:ascii="宋体" w:hAnsi="宋体" w:cs="宋体"/>
          <w:kern w:val="0"/>
          <w:szCs w:val="21"/>
        </w:rPr>
        <w:t>根据政府采购项目（采购合同编号：</w:t>
      </w:r>
      <w:r>
        <w:rPr>
          <w:rFonts w:hint="eastAsia" w:ascii="宋体" w:hAnsi="宋体" w:cs="宋体"/>
          <w:kern w:val="0"/>
          <w:szCs w:val="21"/>
        </w:rPr>
        <w:softHyphen/>
      </w:r>
      <w:r>
        <w:rPr>
          <w:rFonts w:hint="eastAsia" w:ascii="宋体" w:hAnsi="宋体" w:cs="宋体"/>
          <w:kern w:val="0"/>
          <w:szCs w:val="21"/>
        </w:rPr>
        <w:t>   ）的约定，我单位对（ 项目名称 ）政府采购项目中标（或成交）供应商（ 公司名称 ）提供的货物（或工程、服务）进行了验收，验收情况如下：</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tcPr>
          <w:p>
            <w:pPr>
              <w:spacing w:line="340" w:lineRule="exact"/>
              <w:jc w:val="center"/>
              <w:rPr>
                <w:rFonts w:ascii="宋体" w:hAnsi="宋体" w:cs="宋体"/>
                <w:b/>
                <w:szCs w:val="21"/>
              </w:rPr>
            </w:pPr>
            <w:r>
              <w:rPr>
                <w:rFonts w:hint="eastAsia" w:ascii="宋体" w:hAnsi="宋体" w:cs="宋体"/>
                <w:kern w:val="0"/>
                <w:szCs w:val="21"/>
              </w:rPr>
              <w:t>验收方式：</w:t>
            </w:r>
          </w:p>
        </w:tc>
        <w:tc>
          <w:tcPr>
            <w:tcW w:w="5924" w:type="dxa"/>
            <w:gridSpan w:val="5"/>
          </w:tcPr>
          <w:p>
            <w:pPr>
              <w:spacing w:line="340" w:lineRule="exact"/>
              <w:jc w:val="center"/>
              <w:rPr>
                <w:rFonts w:ascii="宋体" w:hAnsi="宋体" w:cs="宋体"/>
                <w:b/>
                <w:szCs w:val="21"/>
              </w:rPr>
            </w:pPr>
            <w:r>
              <w:rPr>
                <w:rFonts w:hint="eastAsia" w:ascii="宋体" w:hAnsi="宋体" w:cs="宋体"/>
                <w:kern w:val="0"/>
                <w:szCs w:val="21"/>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  计</w:t>
            </w: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659" w:type="dxa"/>
            <w:gridSpan w:val="2"/>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583"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合同交货验收日期</w:t>
            </w:r>
          </w:p>
        </w:tc>
        <w:tc>
          <w:tcPr>
            <w:tcW w:w="29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2659" w:type="dxa"/>
            <w:gridSpan w:val="2"/>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2583" w:type="dxa"/>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2913" w:type="dxa"/>
            <w:gridSpan w:val="3"/>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验收具体内容</w:t>
            </w:r>
          </w:p>
        </w:tc>
        <w:tc>
          <w:tcPr>
            <w:tcW w:w="8155" w:type="dxa"/>
            <w:gridSpan w:val="6"/>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验收小组意见</w:t>
            </w:r>
          </w:p>
        </w:tc>
        <w:tc>
          <w:tcPr>
            <w:tcW w:w="8155" w:type="dxa"/>
            <w:gridSpan w:val="6"/>
            <w:vAlign w:val="center"/>
          </w:tcPr>
          <w:p>
            <w:pPr>
              <w:widowControl/>
              <w:snapToGrid w:val="0"/>
              <w:spacing w:before="100" w:beforeAutospacing="1" w:after="100" w:afterAutospacing="1" w:line="320" w:lineRule="atLeast"/>
              <w:jc w:val="left"/>
            </w:pPr>
            <w:r>
              <w:rPr>
                <w:rFonts w:hint="eastAsia"/>
              </w:rPr>
              <w:t>验收结论性意见：</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8155" w:type="dxa"/>
            <w:gridSpan w:val="6"/>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有异议的意见和说明理由：</w:t>
            </w:r>
          </w:p>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监督人员或其他相关人员签字：</w:t>
            </w: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中标或者成交供应商负责人签字或盖章：          采购人或受托机构的意见（盖章）：</w:t>
            </w: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        联系电话：       年  月  日</w:t>
            </w:r>
          </w:p>
        </w:tc>
      </w:tr>
    </w:tbl>
    <w:p>
      <w:pPr>
        <w:rPr>
          <w:rFonts w:hint="eastAsia" w:ascii="宋体" w:hAnsi="宋体" w:eastAsia="宋体" w:cs="宋体"/>
          <w:color w:val="auto"/>
          <w:sz w:val="32"/>
          <w:szCs w:val="32"/>
        </w:rPr>
      </w:pPr>
      <w:r>
        <w:rPr>
          <w:rFonts w:hint="eastAsia" w:ascii="宋体" w:hAnsi="宋体" w:eastAsia="宋体" w:cs="宋体"/>
          <w:color w:val="auto"/>
          <w:lang w:val="en-US" w:eastAsia="zh-CN"/>
        </w:rPr>
        <w:br w:type="page"/>
      </w:r>
      <w:bookmarkStart w:id="123" w:name="_Toc18424523"/>
    </w:p>
    <w:p>
      <w:pPr>
        <w:pStyle w:val="3"/>
        <w:numPr>
          <w:ilvl w:val="0"/>
          <w:numId w:val="3"/>
        </w:numPr>
        <w:bidi w:val="0"/>
        <w:ind w:left="0" w:leftChars="0" w:firstLine="0" w:firstLineChars="0"/>
        <w:rPr>
          <w:rFonts w:hint="eastAsia" w:ascii="宋体" w:hAnsi="宋体" w:eastAsia="宋体" w:cs="宋体"/>
          <w:color w:val="auto"/>
          <w:lang w:val="en-US" w:eastAsia="zh-CN"/>
        </w:rPr>
      </w:pPr>
      <w:bookmarkStart w:id="124" w:name="_Toc10164"/>
      <w:r>
        <w:rPr>
          <w:rFonts w:hint="eastAsia" w:ascii="宋体" w:hAnsi="宋体" w:eastAsia="宋体" w:cs="宋体"/>
          <w:color w:val="auto"/>
          <w:lang w:val="en-US" w:eastAsia="zh-CN"/>
        </w:rPr>
        <w:t>响应</w:t>
      </w:r>
      <w:r>
        <w:rPr>
          <w:rFonts w:hint="eastAsia" w:ascii="宋体" w:hAnsi="宋体" w:eastAsia="宋体" w:cs="宋体"/>
          <w:color w:val="auto"/>
        </w:rPr>
        <w:t>文件格式</w:t>
      </w:r>
      <w:bookmarkEnd w:id="123"/>
      <w:bookmarkEnd w:id="124"/>
    </w:p>
    <w:p>
      <w:pPr>
        <w:pStyle w:val="4"/>
        <w:spacing w:line="360" w:lineRule="auto"/>
        <w:jc w:val="center"/>
        <w:rPr>
          <w:rFonts w:ascii="宋体" w:hAnsi="宋体" w:eastAsia="宋体" w:cs="宋体"/>
          <w:bCs w:val="0"/>
        </w:rPr>
      </w:pPr>
      <w:bookmarkStart w:id="125" w:name="_Toc21626"/>
      <w:bookmarkStart w:id="126" w:name="_Toc4370"/>
      <w:bookmarkStart w:id="127" w:name="_Toc15"/>
      <w:bookmarkStart w:id="128" w:name="_Toc16247"/>
      <w:bookmarkStart w:id="129" w:name="_Toc22510"/>
      <w:bookmarkStart w:id="130" w:name="_Toc8627"/>
      <w:bookmarkStart w:id="131" w:name="_Toc7526"/>
      <w:bookmarkStart w:id="132" w:name="_Toc20529"/>
      <w:bookmarkStart w:id="133" w:name="_Toc11690"/>
      <w:bookmarkStart w:id="134" w:name="_Toc24961"/>
      <w:r>
        <w:rPr>
          <w:rFonts w:hint="eastAsia" w:ascii="宋体" w:hAnsi="宋体" w:eastAsia="宋体" w:cs="宋体"/>
          <w:bCs w:val="0"/>
        </w:rPr>
        <w:t>封面格式</w:t>
      </w:r>
      <w:bookmarkEnd w:id="125"/>
      <w:bookmarkEnd w:id="126"/>
      <w:bookmarkEnd w:id="127"/>
      <w:bookmarkEnd w:id="128"/>
      <w:bookmarkEnd w:id="129"/>
      <w:bookmarkEnd w:id="130"/>
      <w:bookmarkEnd w:id="131"/>
      <w:bookmarkEnd w:id="132"/>
      <w:bookmarkEnd w:id="133"/>
      <w:bookmarkEnd w:id="134"/>
    </w:p>
    <w:p>
      <w:pPr>
        <w:snapToGrid w:val="0"/>
        <w:spacing w:before="120" w:beforeLines="50" w:after="50" w:line="360" w:lineRule="auto"/>
        <w:rPr>
          <w:rFonts w:ascii="宋体" w:hAnsi="宋体" w:cs="宋体"/>
          <w:szCs w:val="21"/>
        </w:rPr>
      </w:pPr>
    </w:p>
    <w:p>
      <w:pPr>
        <w:snapToGrid w:val="0"/>
        <w:spacing w:before="120" w:beforeLines="50" w:after="50" w:line="360" w:lineRule="auto"/>
        <w:jc w:val="center"/>
        <w:rPr>
          <w:rFonts w:ascii="宋体" w:hAnsi="宋体" w:cs="宋体"/>
          <w:bCs/>
          <w:szCs w:val="21"/>
        </w:rPr>
      </w:pPr>
    </w:p>
    <w:p>
      <w:pPr>
        <w:snapToGrid w:val="0"/>
        <w:spacing w:before="120" w:beforeLines="50" w:after="50" w:line="360" w:lineRule="auto"/>
        <w:jc w:val="center"/>
        <w:rPr>
          <w:rFonts w:ascii="宋体" w:hAnsi="宋体" w:cs="宋体"/>
          <w:b/>
          <w:sz w:val="44"/>
          <w:szCs w:val="44"/>
        </w:rPr>
      </w:pPr>
      <w:r>
        <w:rPr>
          <w:rFonts w:hint="eastAsia" w:ascii="宋体" w:hAnsi="宋体" w:cs="宋体"/>
          <w:b/>
          <w:sz w:val="44"/>
          <w:szCs w:val="44"/>
        </w:rPr>
        <w:t>响  应  文  件</w:t>
      </w: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480" w:lineRule="auto"/>
        <w:ind w:firstLine="560" w:firstLineChars="200"/>
        <w:rPr>
          <w:rFonts w:ascii="宋体" w:hAnsi="宋体" w:cs="宋体"/>
          <w:bCs/>
          <w:sz w:val="28"/>
          <w:szCs w:val="28"/>
        </w:rPr>
      </w:pPr>
      <w:r>
        <w:rPr>
          <w:rFonts w:hint="eastAsia" w:ascii="宋体" w:hAnsi="宋体" w:cs="宋体"/>
          <w:bCs/>
          <w:sz w:val="28"/>
          <w:szCs w:val="28"/>
        </w:rPr>
        <w:t>项目名称：</w:t>
      </w:r>
    </w:p>
    <w:p>
      <w:pPr>
        <w:snapToGrid w:val="0"/>
        <w:spacing w:before="120" w:beforeLines="50" w:after="50" w:line="480" w:lineRule="auto"/>
        <w:ind w:firstLine="560" w:firstLineChars="200"/>
        <w:rPr>
          <w:rFonts w:ascii="宋体" w:hAnsi="宋体" w:cs="宋体"/>
          <w:bCs/>
          <w:sz w:val="28"/>
          <w:szCs w:val="28"/>
        </w:rPr>
      </w:pPr>
      <w:r>
        <w:rPr>
          <w:rFonts w:hint="eastAsia" w:ascii="宋体" w:hAnsi="宋体" w:cs="宋体"/>
          <w:bCs/>
          <w:sz w:val="28"/>
          <w:szCs w:val="28"/>
        </w:rPr>
        <w:t>项目编号：</w:t>
      </w:r>
    </w:p>
    <w:p>
      <w:pPr>
        <w:snapToGrid w:val="0"/>
        <w:spacing w:before="120" w:beforeLines="50" w:after="50" w:line="480" w:lineRule="auto"/>
        <w:ind w:firstLine="560" w:firstLineChars="200"/>
        <w:rPr>
          <w:rFonts w:ascii="宋体" w:hAnsi="宋体" w:cs="宋体"/>
          <w:bCs/>
          <w:sz w:val="28"/>
          <w:szCs w:val="28"/>
        </w:rPr>
      </w:pPr>
      <w:r>
        <w:rPr>
          <w:rFonts w:hint="eastAsia" w:ascii="宋体" w:hAnsi="宋体" w:cs="宋体"/>
          <w:bCs/>
          <w:sz w:val="28"/>
          <w:szCs w:val="28"/>
        </w:rPr>
        <w:t>所竞分标</w:t>
      </w:r>
      <w:r>
        <w:rPr>
          <w:rFonts w:hint="eastAsia" w:ascii="宋体" w:hAnsi="宋体" w:cs="宋体"/>
          <w:bCs/>
          <w:sz w:val="28"/>
          <w:szCs w:val="28"/>
          <w:lang w:eastAsia="zh-CN"/>
        </w:rPr>
        <w:t>：</w:t>
      </w:r>
      <w:r>
        <w:rPr>
          <w:rFonts w:hint="eastAsia" w:ascii="宋体" w:hAnsi="宋体" w:cs="宋体"/>
          <w:bCs/>
          <w:sz w:val="28"/>
          <w:szCs w:val="28"/>
        </w:rPr>
        <w:t>（如有则填写，无分标时填写“无”或者留空）：</w:t>
      </w:r>
    </w:p>
    <w:p>
      <w:pPr>
        <w:snapToGrid w:val="0"/>
        <w:spacing w:before="120" w:beforeLines="50" w:after="50" w:line="480" w:lineRule="auto"/>
        <w:ind w:firstLine="560" w:firstLineChars="200"/>
        <w:rPr>
          <w:rFonts w:ascii="宋体" w:hAnsi="宋体" w:cs="宋体"/>
          <w:bCs/>
          <w:sz w:val="28"/>
          <w:szCs w:val="28"/>
        </w:rPr>
      </w:pPr>
      <w:r>
        <w:rPr>
          <w:rFonts w:hint="eastAsia" w:ascii="宋体" w:hAnsi="宋体" w:cs="宋体"/>
          <w:bCs/>
          <w:sz w:val="28"/>
          <w:szCs w:val="28"/>
        </w:rPr>
        <w:t>供应商名称：（联合体</w:t>
      </w:r>
      <w:r>
        <w:rPr>
          <w:rFonts w:hint="eastAsia" w:ascii="宋体" w:hAnsi="宋体" w:cs="宋体"/>
          <w:bCs/>
          <w:sz w:val="28"/>
          <w:szCs w:val="28"/>
          <w:lang w:val="en-US" w:eastAsia="zh-CN"/>
        </w:rPr>
        <w:t>竞</w:t>
      </w:r>
      <w:r>
        <w:rPr>
          <w:rFonts w:hint="eastAsia" w:ascii="宋体" w:hAnsi="宋体" w:cs="宋体"/>
          <w:bCs/>
          <w:sz w:val="28"/>
          <w:szCs w:val="28"/>
        </w:rPr>
        <w:t>标的为联合体各成员名称并加盖牵头方CA电子签章）</w:t>
      </w:r>
    </w:p>
    <w:p>
      <w:pPr>
        <w:snapToGrid w:val="0"/>
        <w:spacing w:before="120" w:beforeLines="50" w:after="50" w:line="480" w:lineRule="auto"/>
        <w:rPr>
          <w:rFonts w:ascii="宋体" w:hAnsi="宋体" w:cs="宋体"/>
          <w:bCs/>
          <w:sz w:val="28"/>
          <w:szCs w:val="28"/>
        </w:rPr>
      </w:pPr>
    </w:p>
    <w:p>
      <w:pPr>
        <w:snapToGrid w:val="0"/>
        <w:spacing w:before="120" w:beforeLines="50" w:after="50" w:line="480" w:lineRule="auto"/>
        <w:jc w:val="center"/>
        <w:rPr>
          <w:rFonts w:ascii="宋体" w:hAnsi="宋体" w:cs="宋体"/>
          <w:bCs/>
          <w:sz w:val="28"/>
          <w:szCs w:val="28"/>
        </w:rPr>
      </w:pPr>
      <w:r>
        <w:rPr>
          <w:rFonts w:hint="eastAsia" w:ascii="宋体" w:hAnsi="宋体" w:cs="宋体"/>
          <w:bCs/>
          <w:sz w:val="28"/>
          <w:szCs w:val="28"/>
        </w:rPr>
        <w:t>首次响应文件提交截止时间前不得解密</w:t>
      </w:r>
    </w:p>
    <w:p>
      <w:pPr>
        <w:snapToGrid w:val="0"/>
        <w:spacing w:before="120" w:beforeLines="50" w:after="50" w:line="360" w:lineRule="auto"/>
        <w:ind w:firstLine="4760" w:firstLineChars="1700"/>
        <w:jc w:val="center"/>
        <w:rPr>
          <w:rFonts w:ascii="宋体" w:hAnsi="宋体" w:cs="宋体"/>
          <w:bCs/>
          <w:sz w:val="28"/>
          <w:szCs w:val="28"/>
        </w:rPr>
      </w:pPr>
    </w:p>
    <w:p>
      <w:pPr>
        <w:snapToGrid w:val="0"/>
        <w:spacing w:before="120" w:beforeLines="50" w:after="50" w:line="360" w:lineRule="auto"/>
        <w:ind w:firstLine="645"/>
        <w:jc w:val="center"/>
        <w:rPr>
          <w:rFonts w:ascii="宋体" w:hAnsi="宋体" w:cs="宋体"/>
          <w:bCs/>
          <w:sz w:val="28"/>
          <w:szCs w:val="28"/>
        </w:rPr>
      </w:pPr>
      <w:r>
        <w:rPr>
          <w:rFonts w:hint="eastAsia" w:ascii="宋体" w:hAnsi="宋体" w:cs="宋体"/>
          <w:bCs/>
          <w:sz w:val="28"/>
          <w:szCs w:val="28"/>
        </w:rPr>
        <w:t>年    月    日</w:t>
      </w:r>
    </w:p>
    <w:p>
      <w:pPr>
        <w:spacing w:line="360" w:lineRule="auto"/>
        <w:rPr>
          <w:rFonts w:ascii="宋体" w:hAnsi="宋体" w:cs="宋体"/>
          <w:szCs w:val="21"/>
        </w:rPr>
        <w:sectPr>
          <w:footerReference r:id="rId5" w:type="default"/>
          <w:pgSz w:w="11910" w:h="16840"/>
          <w:pgMar w:top="1440" w:right="1080" w:bottom="1440" w:left="1080" w:header="720" w:footer="720" w:gutter="0"/>
          <w:pgNumType w:start="1"/>
          <w:cols w:space="720" w:num="1"/>
        </w:sectPr>
      </w:pPr>
    </w:p>
    <w:p>
      <w:pPr>
        <w:snapToGrid w:val="0"/>
        <w:spacing w:before="120" w:beforeLines="50" w:after="50" w:line="360" w:lineRule="auto"/>
        <w:rPr>
          <w:rFonts w:ascii="宋体" w:hAnsi="宋体" w:cs="宋体"/>
          <w:szCs w:val="21"/>
        </w:rPr>
      </w:pPr>
    </w:p>
    <w:p>
      <w:pPr>
        <w:pStyle w:val="4"/>
        <w:spacing w:line="360" w:lineRule="auto"/>
        <w:ind w:firstLine="420"/>
        <w:jc w:val="center"/>
        <w:rPr>
          <w:rFonts w:ascii="宋体" w:hAnsi="宋体" w:eastAsia="宋体" w:cs="宋体"/>
          <w:bCs w:val="0"/>
        </w:rPr>
      </w:pPr>
      <w:bookmarkStart w:id="135" w:name="_Toc24677"/>
      <w:bookmarkStart w:id="136" w:name="_Toc28987"/>
      <w:bookmarkStart w:id="137" w:name="_Toc24330"/>
      <w:bookmarkStart w:id="138" w:name="_Toc16404"/>
      <w:bookmarkStart w:id="139" w:name="_Toc11716"/>
      <w:bookmarkStart w:id="140" w:name="_Toc15366"/>
      <w:bookmarkStart w:id="141" w:name="_Toc32493"/>
      <w:bookmarkStart w:id="142" w:name="_Toc27423"/>
      <w:bookmarkStart w:id="143" w:name="_Toc22544"/>
      <w:bookmarkStart w:id="144" w:name="_Toc17204"/>
      <w:r>
        <w:rPr>
          <w:rFonts w:hint="eastAsia" w:ascii="宋体" w:hAnsi="宋体" w:eastAsia="宋体" w:cs="宋体"/>
          <w:bCs w:val="0"/>
        </w:rPr>
        <w:t>第一节  资格证明文件格式</w:t>
      </w:r>
      <w:bookmarkEnd w:id="135"/>
      <w:bookmarkEnd w:id="136"/>
      <w:bookmarkEnd w:id="137"/>
      <w:bookmarkEnd w:id="138"/>
      <w:bookmarkEnd w:id="139"/>
      <w:bookmarkEnd w:id="140"/>
      <w:bookmarkEnd w:id="141"/>
      <w:bookmarkEnd w:id="142"/>
      <w:bookmarkEnd w:id="143"/>
      <w:bookmarkEnd w:id="144"/>
    </w:p>
    <w:p>
      <w:pPr>
        <w:snapToGrid w:val="0"/>
        <w:spacing w:before="120" w:beforeLines="50" w:after="50" w:line="360" w:lineRule="auto"/>
        <w:rPr>
          <w:rFonts w:ascii="宋体" w:hAnsi="宋体" w:cs="宋体"/>
          <w:bCs/>
          <w:szCs w:val="21"/>
        </w:rPr>
      </w:pPr>
      <w:r>
        <w:rPr>
          <w:rFonts w:hint="eastAsia" w:ascii="宋体" w:hAnsi="宋体" w:cs="宋体"/>
          <w:szCs w:val="21"/>
        </w:rPr>
        <w:t xml:space="preserve">                                           </w:t>
      </w:r>
      <w:bookmarkStart w:id="145" w:name="_Hlk136265927"/>
      <w:r>
        <w:rPr>
          <w:rFonts w:hint="eastAsia" w:ascii="宋体" w:hAnsi="宋体" w:cs="宋体"/>
          <w:bCs/>
          <w:szCs w:val="21"/>
        </w:rPr>
        <w:t>全流程电子文件</w:t>
      </w:r>
      <w:bookmarkEnd w:id="145"/>
    </w:p>
    <w:p>
      <w:pPr>
        <w:snapToGrid w:val="0"/>
        <w:spacing w:before="120" w:beforeLines="50" w:after="50" w:line="360" w:lineRule="auto"/>
        <w:rPr>
          <w:rFonts w:ascii="宋体" w:hAnsi="宋体" w:cs="宋体"/>
          <w:szCs w:val="21"/>
        </w:rPr>
      </w:pPr>
    </w:p>
    <w:p>
      <w:pPr>
        <w:snapToGrid w:val="0"/>
        <w:spacing w:before="120" w:beforeLines="50" w:after="50" w:line="360" w:lineRule="auto"/>
        <w:jc w:val="center"/>
        <w:rPr>
          <w:rFonts w:ascii="宋体" w:hAnsi="宋体" w:cs="宋体"/>
          <w:b/>
          <w:sz w:val="40"/>
          <w:szCs w:val="40"/>
        </w:rPr>
      </w:pPr>
      <w:r>
        <w:rPr>
          <w:rFonts w:hint="eastAsia" w:ascii="宋体" w:hAnsi="宋体" w:cs="宋体"/>
          <w:b/>
          <w:sz w:val="40"/>
          <w:szCs w:val="40"/>
        </w:rPr>
        <w:t>资  格  证  明  文  件（封面）</w:t>
      </w: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项目名称：</w:t>
      </w: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项目编号：</w:t>
      </w: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所竞分标</w:t>
      </w:r>
      <w:r>
        <w:rPr>
          <w:rFonts w:hint="eastAsia" w:ascii="宋体" w:hAnsi="宋体" w:cs="宋体"/>
          <w:bCs/>
          <w:sz w:val="28"/>
          <w:szCs w:val="28"/>
          <w:lang w:eastAsia="zh-CN"/>
        </w:rPr>
        <w:t>：</w:t>
      </w:r>
      <w:r>
        <w:rPr>
          <w:rFonts w:hint="eastAsia" w:ascii="宋体" w:hAnsi="宋体" w:cs="宋体"/>
          <w:bCs/>
          <w:sz w:val="28"/>
          <w:szCs w:val="28"/>
        </w:rPr>
        <w:t>（如有则填写，无分标时填写“无”或者留空）：</w:t>
      </w:r>
    </w:p>
    <w:p>
      <w:pPr>
        <w:pStyle w:val="8"/>
        <w:snapToGrid w:val="0"/>
        <w:spacing w:before="50" w:after="50" w:line="480" w:lineRule="auto"/>
        <w:ind w:firstLineChars="150"/>
        <w:rPr>
          <w:rFonts w:ascii="宋体" w:hAnsi="宋体" w:cs="宋体"/>
          <w:bCs/>
          <w:sz w:val="28"/>
          <w:szCs w:val="28"/>
        </w:rPr>
      </w:pPr>
      <w:r>
        <w:rPr>
          <w:rFonts w:hint="eastAsia" w:ascii="宋体" w:hAnsi="宋体" w:cs="宋体"/>
          <w:bCs/>
          <w:sz w:val="28"/>
          <w:szCs w:val="28"/>
        </w:rPr>
        <w:t>供应商名称：</w:t>
      </w:r>
      <w:r>
        <w:rPr>
          <w:rFonts w:hint="eastAsia" w:ascii="宋体" w:hAnsi="宋体" w:cs="宋体"/>
          <w:bCs/>
          <w:sz w:val="28"/>
          <w:szCs w:val="28"/>
          <w:u w:val="single"/>
        </w:rPr>
        <w:t>（联合体</w:t>
      </w:r>
      <w:r>
        <w:rPr>
          <w:rFonts w:hint="eastAsia" w:ascii="宋体" w:hAnsi="宋体" w:cs="宋体"/>
          <w:bCs/>
          <w:sz w:val="28"/>
          <w:szCs w:val="28"/>
          <w:u w:val="single"/>
          <w:lang w:val="en-US" w:eastAsia="zh-CN"/>
        </w:rPr>
        <w:t>竞</w:t>
      </w:r>
      <w:r>
        <w:rPr>
          <w:rFonts w:hint="eastAsia" w:ascii="宋体" w:hAnsi="宋体" w:cs="宋体"/>
          <w:bCs/>
          <w:sz w:val="28"/>
          <w:szCs w:val="28"/>
          <w:u w:val="single"/>
        </w:rPr>
        <w:t>标的为联合体各成员名称并加盖牵头方CA电子签章）</w:t>
      </w:r>
    </w:p>
    <w:p>
      <w:pPr>
        <w:pStyle w:val="8"/>
        <w:snapToGrid w:val="0"/>
        <w:spacing w:before="50" w:after="50" w:line="480" w:lineRule="auto"/>
        <w:ind w:firstLineChars="150"/>
        <w:rPr>
          <w:rFonts w:ascii="宋体" w:hAnsi="宋体" w:cs="宋体"/>
          <w:bCs/>
          <w:sz w:val="28"/>
          <w:szCs w:val="28"/>
        </w:rPr>
      </w:pPr>
    </w:p>
    <w:p>
      <w:pPr>
        <w:pStyle w:val="8"/>
        <w:snapToGrid w:val="0"/>
        <w:spacing w:before="50" w:after="50" w:line="360" w:lineRule="auto"/>
        <w:ind w:firstLine="0"/>
        <w:rPr>
          <w:rFonts w:ascii="宋体" w:hAnsi="宋体" w:cs="宋体"/>
          <w:bCs/>
          <w:szCs w:val="21"/>
        </w:rPr>
      </w:pPr>
    </w:p>
    <w:p>
      <w:pPr>
        <w:pStyle w:val="8"/>
        <w:snapToGrid w:val="0"/>
        <w:spacing w:before="50" w:after="50" w:line="360" w:lineRule="auto"/>
        <w:ind w:firstLine="960" w:firstLineChars="400"/>
        <w:rPr>
          <w:rFonts w:ascii="宋体" w:hAnsi="宋体" w:cs="宋体"/>
          <w:bCs/>
          <w:szCs w:val="21"/>
        </w:rPr>
      </w:pPr>
    </w:p>
    <w:p>
      <w:pPr>
        <w:snapToGrid w:val="0"/>
        <w:spacing w:before="120" w:beforeLines="50" w:after="50" w:line="360" w:lineRule="auto"/>
        <w:jc w:val="center"/>
        <w:rPr>
          <w:rFonts w:ascii="宋体" w:hAnsi="宋体" w:cs="宋体"/>
          <w:sz w:val="28"/>
          <w:szCs w:val="28"/>
        </w:rPr>
      </w:pPr>
      <w:r>
        <w:rPr>
          <w:rFonts w:hint="eastAsia" w:ascii="宋体" w:hAnsi="宋体" w:cs="宋体"/>
          <w:sz w:val="28"/>
          <w:szCs w:val="28"/>
        </w:rPr>
        <w:t>年    月    日</w:t>
      </w:r>
    </w:p>
    <w:p>
      <w:pPr>
        <w:snapToGrid w:val="0"/>
        <w:spacing w:before="120" w:beforeLines="50" w:after="50" w:line="360" w:lineRule="auto"/>
        <w:jc w:val="center"/>
        <w:rPr>
          <w:rFonts w:ascii="宋体" w:hAnsi="宋体" w:cs="宋体"/>
          <w:b/>
          <w:kern w:val="0"/>
          <w:sz w:val="28"/>
          <w:szCs w:val="28"/>
        </w:rPr>
      </w:pPr>
      <w:r>
        <w:rPr>
          <w:rFonts w:hint="eastAsia" w:ascii="宋体" w:hAnsi="宋体" w:cs="宋体"/>
          <w:szCs w:val="21"/>
        </w:rPr>
        <w:br w:type="page"/>
      </w:r>
      <w:r>
        <w:rPr>
          <w:rFonts w:hint="eastAsia" w:ascii="宋体" w:hAnsi="宋体" w:cs="宋体"/>
          <w:b/>
          <w:bCs/>
          <w:szCs w:val="21"/>
        </w:rPr>
        <w:t xml:space="preserve"> </w:t>
      </w:r>
      <w:r>
        <w:rPr>
          <w:rFonts w:hint="eastAsia" w:ascii="宋体" w:hAnsi="宋体" w:cs="宋体"/>
          <w:b/>
          <w:kern w:val="0"/>
          <w:sz w:val="28"/>
          <w:szCs w:val="28"/>
        </w:rPr>
        <w:t>资格证明文件目录</w:t>
      </w:r>
    </w:p>
    <w:p/>
    <w:p>
      <w:pPr>
        <w:tabs>
          <w:tab w:val="right" w:leader="dot" w:pos="9750"/>
        </w:tabs>
        <w:snapToGrid w:val="0"/>
        <w:spacing w:line="360" w:lineRule="auto"/>
        <w:ind w:firstLine="480" w:firstLineChars="200"/>
        <w:rPr>
          <w:rFonts w:ascii="宋体" w:hAnsi="宋体" w:cs="宋体"/>
          <w:kern w:val="0"/>
          <w:szCs w:val="21"/>
        </w:rPr>
      </w:pPr>
      <w:r>
        <w:rPr>
          <w:rFonts w:hint="eastAsia" w:ascii="宋体" w:hAnsi="宋体" w:cs="宋体"/>
          <w:kern w:val="0"/>
          <w:szCs w:val="21"/>
        </w:rPr>
        <w:t>（1）磋商声明书；</w:t>
      </w:r>
    </w:p>
    <w:p>
      <w:pPr>
        <w:tabs>
          <w:tab w:val="right" w:leader="dot" w:pos="9750"/>
        </w:tabs>
        <w:snapToGrid w:val="0"/>
        <w:spacing w:line="360" w:lineRule="auto"/>
        <w:ind w:firstLine="480" w:firstLineChars="200"/>
        <w:rPr>
          <w:rFonts w:ascii="宋体" w:hAnsi="宋体" w:cs="宋体"/>
          <w:kern w:val="0"/>
          <w:szCs w:val="21"/>
        </w:rPr>
      </w:pPr>
      <w:r>
        <w:rPr>
          <w:rFonts w:hint="eastAsia" w:ascii="宋体" w:hAnsi="宋体" w:cs="宋体"/>
          <w:kern w:val="0"/>
          <w:szCs w:val="21"/>
        </w:rPr>
        <w:t>（2）有效的营业执照副本复印件；</w:t>
      </w:r>
    </w:p>
    <w:p>
      <w:pPr>
        <w:tabs>
          <w:tab w:val="right" w:leader="dot" w:pos="9750"/>
        </w:tabs>
        <w:snapToGrid w:val="0"/>
        <w:spacing w:line="360" w:lineRule="auto"/>
        <w:ind w:firstLine="480" w:firstLineChars="200"/>
        <w:rPr>
          <w:rFonts w:ascii="宋体" w:hAnsi="宋体" w:cs="宋体"/>
          <w:kern w:val="0"/>
          <w:szCs w:val="21"/>
        </w:rPr>
      </w:pPr>
      <w:r>
        <w:rPr>
          <w:rFonts w:hint="eastAsia" w:ascii="宋体" w:hAnsi="宋体" w:cs="宋体"/>
          <w:kern w:val="0"/>
          <w:szCs w:val="21"/>
        </w:rPr>
        <w:t>（3）政府采购供应商资格信用承诺函；</w:t>
      </w:r>
    </w:p>
    <w:p>
      <w:pPr>
        <w:tabs>
          <w:tab w:val="right" w:leader="dot" w:pos="9750"/>
        </w:tabs>
        <w:snapToGrid w:val="0"/>
        <w:spacing w:line="360" w:lineRule="auto"/>
        <w:ind w:firstLine="480" w:firstLineChars="200"/>
        <w:rPr>
          <w:rFonts w:ascii="宋体" w:hAnsi="宋体" w:cs="宋体"/>
          <w:kern w:val="0"/>
          <w:szCs w:val="21"/>
        </w:rPr>
      </w:pPr>
      <w:r>
        <w:rPr>
          <w:rFonts w:hint="eastAsia" w:ascii="宋体" w:hAnsi="宋体" w:cs="宋体"/>
          <w:kern w:val="0"/>
          <w:szCs w:val="21"/>
        </w:rPr>
        <w:t>（4）供应商控股及管理关系情况申报表；</w:t>
      </w:r>
    </w:p>
    <w:p>
      <w:pPr>
        <w:tabs>
          <w:tab w:val="right" w:leader="dot" w:pos="9750"/>
        </w:tabs>
        <w:snapToGrid w:val="0"/>
        <w:spacing w:line="360" w:lineRule="auto"/>
        <w:ind w:firstLine="480" w:firstLineChars="200"/>
        <w:rPr>
          <w:rFonts w:ascii="宋体" w:hAnsi="宋体" w:cs="宋体"/>
          <w:kern w:val="0"/>
          <w:szCs w:val="21"/>
        </w:rPr>
      </w:pPr>
      <w:r>
        <w:rPr>
          <w:rFonts w:hint="eastAsia" w:ascii="宋体" w:hAnsi="宋体" w:cs="宋体"/>
          <w:kern w:val="0"/>
          <w:szCs w:val="21"/>
        </w:rPr>
        <w:t>（5）供应商如为分支机构</w:t>
      </w:r>
      <w:r>
        <w:rPr>
          <w:rFonts w:hint="eastAsia" w:ascii="宋体" w:hAnsi="宋体" w:cs="宋体"/>
          <w:kern w:val="0"/>
          <w:szCs w:val="21"/>
          <w:lang w:val="en-US" w:eastAsia="zh-CN"/>
        </w:rPr>
        <w:t>竞</w:t>
      </w:r>
      <w:r>
        <w:rPr>
          <w:rFonts w:hint="eastAsia" w:ascii="宋体" w:hAnsi="宋体" w:cs="宋体"/>
          <w:kern w:val="0"/>
          <w:szCs w:val="21"/>
        </w:rPr>
        <w:t>标的，须提供其总公司“营业执照”副本复印件和总公司对供应商的授权书复印件。（如有，请提供）</w:t>
      </w:r>
    </w:p>
    <w:p>
      <w:pPr>
        <w:tabs>
          <w:tab w:val="right" w:leader="dot" w:pos="9750"/>
        </w:tabs>
        <w:snapToGrid w:val="0"/>
        <w:spacing w:line="360" w:lineRule="auto"/>
        <w:ind w:firstLine="480" w:firstLineChars="200"/>
        <w:rPr>
          <w:rFonts w:ascii="宋体" w:hAnsi="宋体" w:cs="宋体"/>
          <w:kern w:val="0"/>
          <w:szCs w:val="21"/>
        </w:rPr>
      </w:pPr>
      <w:r>
        <w:rPr>
          <w:rFonts w:hint="eastAsia" w:ascii="宋体" w:hAnsi="宋体" w:cs="宋体"/>
          <w:kern w:val="0"/>
          <w:szCs w:val="21"/>
        </w:rPr>
        <w:t>（6）《联合</w:t>
      </w:r>
      <w:r>
        <w:rPr>
          <w:rFonts w:hint="eastAsia" w:ascii="宋体" w:hAnsi="宋体" w:cs="宋体"/>
          <w:kern w:val="0"/>
          <w:szCs w:val="21"/>
          <w:lang w:val="en-US" w:eastAsia="zh-CN"/>
        </w:rPr>
        <w:t>竞</w:t>
      </w:r>
      <w:r>
        <w:rPr>
          <w:rFonts w:hint="eastAsia" w:ascii="宋体" w:hAnsi="宋体" w:cs="宋体"/>
          <w:kern w:val="0"/>
          <w:szCs w:val="21"/>
        </w:rPr>
        <w:t>标协议书》（联合体</w:t>
      </w:r>
      <w:r>
        <w:rPr>
          <w:rFonts w:hint="eastAsia" w:ascii="宋体" w:hAnsi="宋体" w:cs="宋体"/>
          <w:kern w:val="0"/>
          <w:szCs w:val="21"/>
          <w:lang w:val="en-US" w:eastAsia="zh-CN"/>
        </w:rPr>
        <w:t>竞</w:t>
      </w:r>
      <w:r>
        <w:rPr>
          <w:rFonts w:hint="eastAsia" w:ascii="宋体" w:hAnsi="宋体" w:cs="宋体"/>
          <w:kern w:val="0"/>
          <w:szCs w:val="21"/>
        </w:rPr>
        <w:t>标时必须提供，非联合体</w:t>
      </w:r>
      <w:r>
        <w:rPr>
          <w:rFonts w:hint="eastAsia" w:ascii="宋体" w:hAnsi="宋体" w:cs="宋体"/>
          <w:kern w:val="0"/>
          <w:szCs w:val="21"/>
          <w:lang w:val="en-US" w:eastAsia="zh-CN"/>
        </w:rPr>
        <w:t>竞</w:t>
      </w:r>
      <w:r>
        <w:rPr>
          <w:rFonts w:hint="eastAsia" w:ascii="宋体" w:hAnsi="宋体" w:cs="宋体"/>
          <w:kern w:val="0"/>
          <w:szCs w:val="21"/>
        </w:rPr>
        <w:t>标的无须提供）。</w:t>
      </w:r>
    </w:p>
    <w:p>
      <w:pPr>
        <w:snapToGrid w:val="0"/>
        <w:spacing w:line="360" w:lineRule="auto"/>
        <w:rPr>
          <w:rFonts w:ascii="宋体" w:hAnsi="宋体" w:cs="宋体"/>
          <w:b/>
          <w:bCs/>
          <w:szCs w:val="21"/>
        </w:rPr>
      </w:pPr>
    </w:p>
    <w:p/>
    <w:p>
      <w:pPr>
        <w:spacing w:line="360" w:lineRule="auto"/>
        <w:rPr>
          <w:rFonts w:ascii="宋体" w:hAnsi="宋体" w:cs="宋体"/>
          <w:b/>
          <w:bCs/>
          <w:szCs w:val="21"/>
        </w:rPr>
      </w:pPr>
      <w:r>
        <w:rPr>
          <w:rFonts w:hint="eastAsia" w:ascii="宋体" w:hAnsi="宋体" w:cs="宋体"/>
          <w:b/>
          <w:bCs/>
          <w:szCs w:val="21"/>
        </w:rPr>
        <w:t>注：以上目录是编制供应商响应文件的基本格式要求，各供应商可根据自身情况进一步细化。</w:t>
      </w:r>
    </w:p>
    <w:p>
      <w:pPr>
        <w:spacing w:line="360" w:lineRule="auto"/>
        <w:jc w:val="left"/>
        <w:outlineLvl w:val="2"/>
        <w:rPr>
          <w:rFonts w:ascii="宋体" w:hAnsi="宋体" w:cs="宋体"/>
          <w:szCs w:val="21"/>
        </w:rPr>
      </w:pPr>
      <w:r>
        <w:rPr>
          <w:rFonts w:hint="eastAsia" w:ascii="宋体" w:hAnsi="宋体" w:cs="宋体"/>
          <w:szCs w:val="21"/>
        </w:rPr>
        <w:br w:type="page"/>
      </w:r>
      <w:bookmarkStart w:id="146" w:name="_Toc23469"/>
      <w:bookmarkStart w:id="147" w:name="_Toc14319"/>
      <w:bookmarkStart w:id="148" w:name="_Toc12626"/>
      <w:bookmarkStart w:id="149" w:name="_Toc18189"/>
      <w:bookmarkStart w:id="150" w:name="_Toc13721"/>
      <w:bookmarkStart w:id="151" w:name="_Toc5901"/>
      <w:bookmarkStart w:id="152" w:name="_Toc19522"/>
      <w:bookmarkStart w:id="153" w:name="_Toc8703"/>
      <w:bookmarkStart w:id="154" w:name="_Toc19943"/>
      <w:bookmarkStart w:id="155" w:name="_Toc1378"/>
      <w:r>
        <w:rPr>
          <w:rFonts w:hint="eastAsia" w:ascii="宋体" w:hAnsi="宋体" w:cs="宋体"/>
          <w:szCs w:val="21"/>
        </w:rPr>
        <w:t>一</w:t>
      </w:r>
      <w:r>
        <w:rPr>
          <w:rFonts w:hint="eastAsia" w:ascii="宋体" w:hAnsi="宋体" w:cs="宋体"/>
          <w:b/>
          <w:kern w:val="0"/>
          <w:szCs w:val="21"/>
        </w:rPr>
        <w:t>、磋商声明书</w:t>
      </w:r>
      <w:bookmarkEnd w:id="146"/>
      <w:bookmarkEnd w:id="147"/>
      <w:bookmarkEnd w:id="148"/>
      <w:bookmarkEnd w:id="149"/>
      <w:bookmarkEnd w:id="150"/>
      <w:bookmarkEnd w:id="151"/>
      <w:bookmarkEnd w:id="152"/>
      <w:bookmarkEnd w:id="153"/>
      <w:bookmarkEnd w:id="154"/>
      <w:bookmarkEnd w:id="155"/>
    </w:p>
    <w:p>
      <w:pPr>
        <w:spacing w:line="360" w:lineRule="auto"/>
        <w:jc w:val="center"/>
        <w:rPr>
          <w:rFonts w:ascii="宋体" w:hAnsi="宋体" w:cs="宋体"/>
          <w:b/>
          <w:szCs w:val="21"/>
        </w:rPr>
      </w:pPr>
    </w:p>
    <w:p>
      <w:pPr>
        <w:spacing w:line="360" w:lineRule="auto"/>
        <w:jc w:val="center"/>
        <w:rPr>
          <w:rFonts w:ascii="宋体" w:hAnsi="宋体" w:cs="宋体"/>
          <w:szCs w:val="21"/>
        </w:rPr>
      </w:pPr>
      <w:r>
        <w:rPr>
          <w:rFonts w:hint="eastAsia" w:ascii="宋体" w:hAnsi="宋体" w:cs="宋体"/>
          <w:b/>
          <w:sz w:val="28"/>
          <w:szCs w:val="28"/>
        </w:rPr>
        <w:t>磋商声明书</w:t>
      </w:r>
    </w:p>
    <w:p>
      <w:pPr>
        <w:spacing w:line="460" w:lineRule="exact"/>
        <w:contextualSpacing/>
        <w:rPr>
          <w:rFonts w:ascii="宋体" w:hAnsi="宋体" w:cs="宋体"/>
          <w:szCs w:val="21"/>
        </w:rPr>
      </w:pPr>
      <w:r>
        <w:rPr>
          <w:rFonts w:hint="eastAsia" w:ascii="宋体" w:hAnsi="宋体" w:cs="宋体"/>
          <w:szCs w:val="21"/>
        </w:rPr>
        <w:t>致：</w:t>
      </w:r>
      <w:r>
        <w:rPr>
          <w:rFonts w:hint="eastAsia" w:ascii="宋体" w:hAnsi="宋体" w:eastAsia="宋体" w:cs="宋体"/>
          <w:spacing w:val="6"/>
          <w:sz w:val="24"/>
          <w:szCs w:val="24"/>
          <w:u w:val="single"/>
          <w:lang w:eastAsia="zh-CN"/>
        </w:rPr>
        <w:t>（采购人名称）、（代理机构名称）</w:t>
      </w:r>
      <w:r>
        <w:rPr>
          <w:rFonts w:hint="eastAsia" w:ascii="宋体" w:hAnsi="宋体" w:cs="宋体"/>
          <w:szCs w:val="21"/>
        </w:rPr>
        <w:t>：</w:t>
      </w:r>
    </w:p>
    <w:p>
      <w:pPr>
        <w:spacing w:line="460" w:lineRule="exact"/>
        <w:ind w:firstLine="480" w:firstLineChars="200"/>
        <w:contextualSpacing/>
        <w:rPr>
          <w:rFonts w:ascii="宋体" w:hAnsi="宋体" w:cs="宋体"/>
          <w:szCs w:val="21"/>
        </w:rPr>
      </w:pPr>
      <w:r>
        <w:rPr>
          <w:rFonts w:hint="eastAsia" w:ascii="宋体" w:hAnsi="宋体" w:cs="宋体"/>
          <w:szCs w:val="21"/>
          <w:u w:val="single"/>
        </w:rPr>
        <w:t>（供应商名称）</w:t>
      </w:r>
      <w:r>
        <w:rPr>
          <w:rFonts w:hint="eastAsia" w:ascii="宋体" w:hAnsi="宋体" w:cs="宋体"/>
          <w:szCs w:val="21"/>
        </w:rPr>
        <w:t>系中华人民共和国合法供应商，经营地址</w:t>
      </w:r>
      <w:r>
        <w:rPr>
          <w:rFonts w:hint="eastAsia" w:ascii="宋体" w:hAnsi="宋体" w:cs="宋体"/>
          <w:szCs w:val="21"/>
          <w:u w:val="single"/>
        </w:rPr>
        <w:t xml:space="preserve">                              </w:t>
      </w:r>
      <w:r>
        <w:rPr>
          <w:rFonts w:hint="eastAsia" w:ascii="宋体" w:hAnsi="宋体" w:cs="宋体"/>
          <w:szCs w:val="21"/>
        </w:rPr>
        <w:t>。</w:t>
      </w:r>
    </w:p>
    <w:p>
      <w:pPr>
        <w:spacing w:line="460" w:lineRule="exact"/>
        <w:ind w:firstLine="48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lang w:val="en-US" w:eastAsia="zh-CN"/>
        </w:rPr>
        <w:t xml:space="preserve">      （项目名称）    </w:t>
      </w:r>
      <w:r>
        <w:rPr>
          <w:rFonts w:hint="eastAsia" w:ascii="宋体" w:hAnsi="宋体" w:cs="宋体"/>
          <w:szCs w:val="21"/>
        </w:rPr>
        <w:t>的竞标，为便于贵方公正、择优地确定成交供应商及其竞标产品和服务，我方就本次竞标有关事项郑重声明如下：</w:t>
      </w:r>
    </w:p>
    <w:p>
      <w:pPr>
        <w:spacing w:line="460" w:lineRule="exact"/>
        <w:ind w:firstLine="48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pPr>
        <w:spacing w:line="460" w:lineRule="exact"/>
        <w:ind w:firstLine="48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60" w:lineRule="exact"/>
        <w:ind w:firstLine="480" w:firstLineChars="200"/>
        <w:contextualSpacing/>
        <w:rPr>
          <w:rFonts w:ascii="宋体" w:hAnsi="宋体" w:cs="宋体"/>
          <w:szCs w:val="21"/>
        </w:rPr>
      </w:pPr>
      <w:r>
        <w:rPr>
          <w:rFonts w:hint="eastAsia" w:ascii="宋体" w:hAnsi="宋体" w:cs="宋体"/>
          <w:szCs w:val="21"/>
        </w:rPr>
        <w:t>3.在此，我方宣布同意如下：</w:t>
      </w:r>
    </w:p>
    <w:p>
      <w:pPr>
        <w:spacing w:line="460" w:lineRule="exact"/>
        <w:ind w:firstLine="480" w:firstLineChars="200"/>
        <w:contextualSpacing/>
        <w:rPr>
          <w:rFonts w:ascii="宋体" w:hAnsi="宋体" w:cs="宋体"/>
          <w:szCs w:val="21"/>
        </w:rPr>
      </w:pPr>
      <w:r>
        <w:rPr>
          <w:rFonts w:hint="eastAsia" w:ascii="宋体" w:hAnsi="宋体" w:cs="宋体"/>
          <w:szCs w:val="21"/>
        </w:rPr>
        <w:t>（1）将按磋商文件的约定履行合同责任和义务；</w:t>
      </w:r>
    </w:p>
    <w:p>
      <w:pPr>
        <w:spacing w:line="460" w:lineRule="exact"/>
        <w:ind w:firstLine="480" w:firstLineChars="200"/>
        <w:contextualSpacing/>
        <w:rPr>
          <w:rFonts w:ascii="宋体" w:hAnsi="宋体" w:cs="宋体"/>
          <w:szCs w:val="21"/>
        </w:rPr>
      </w:pPr>
      <w:r>
        <w:rPr>
          <w:rFonts w:hint="eastAsia" w:ascii="宋体" w:hAnsi="宋体" w:cs="宋体"/>
          <w:szCs w:val="21"/>
        </w:rPr>
        <w:t>（2）已详细审查全部磋商文件，包括澄清或者更正公告（如有）；</w:t>
      </w:r>
    </w:p>
    <w:p>
      <w:pPr>
        <w:spacing w:line="460" w:lineRule="exact"/>
        <w:ind w:firstLine="48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pPr>
        <w:spacing w:line="460" w:lineRule="exact"/>
        <w:ind w:firstLine="480" w:firstLineChars="200"/>
        <w:contextualSpacing/>
        <w:rPr>
          <w:rFonts w:ascii="宋体" w:hAnsi="宋体" w:cs="宋体"/>
          <w:szCs w:val="21"/>
        </w:rPr>
      </w:pPr>
      <w:r>
        <w:rPr>
          <w:rFonts w:hint="eastAsia" w:ascii="宋体" w:hAnsi="宋体" w:cs="宋体"/>
          <w:szCs w:val="21"/>
        </w:rPr>
        <w:t>（4）响应磋商文件规定的竞标有效期。</w:t>
      </w:r>
    </w:p>
    <w:p>
      <w:pPr>
        <w:spacing w:line="460" w:lineRule="exact"/>
        <w:ind w:firstLine="480" w:firstLineChars="200"/>
        <w:contextualSpacing/>
        <w:rPr>
          <w:rFonts w:ascii="宋体" w:hAnsi="宋体" w:cs="宋体"/>
          <w:szCs w:val="21"/>
        </w:rPr>
      </w:pPr>
      <w:r>
        <w:rPr>
          <w:rFonts w:hint="eastAsia" w:ascii="宋体" w:hAnsi="宋体" w:cs="宋体"/>
          <w:szCs w:val="21"/>
        </w:rPr>
        <w:t>4.我方承诺已经具备《中华人民共和国政府采购法》第二十二条中规定的参加政府采购活动的供应商应当具备的条件并按本项目响应文件“第二章  供应商须知”中“资格证明文件组成”完整提供证明材料。</w:t>
      </w:r>
    </w:p>
    <w:p>
      <w:pPr>
        <w:spacing w:line="460" w:lineRule="exact"/>
        <w:ind w:firstLine="48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60" w:lineRule="exact"/>
        <w:ind w:firstLine="48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60" w:lineRule="exact"/>
        <w:ind w:firstLine="48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460" w:lineRule="exact"/>
        <w:ind w:firstLine="48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pPr>
        <w:pStyle w:val="15"/>
        <w:spacing w:line="460" w:lineRule="exact"/>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pPr>
        <w:pStyle w:val="15"/>
        <w:spacing w:line="460" w:lineRule="exact"/>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pPr>
        <w:pStyle w:val="13"/>
        <w:tabs>
          <w:tab w:val="left" w:pos="939"/>
        </w:tabs>
        <w:spacing w:line="460" w:lineRule="exact"/>
        <w:ind w:left="0" w:leftChars="0" w:firstLine="480" w:firstLineChars="200"/>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账号：</w:t>
      </w:r>
      <w:r>
        <w:rPr>
          <w:rFonts w:hint="eastAsia" w:ascii="宋体" w:hAnsi="宋体" w:cs="宋体"/>
          <w:sz w:val="24"/>
          <w:szCs w:val="24"/>
          <w:u w:val="single"/>
        </w:rPr>
        <w:t xml:space="preserve">                               </w:t>
      </w:r>
    </w:p>
    <w:p>
      <w:pPr>
        <w:pStyle w:val="13"/>
        <w:tabs>
          <w:tab w:val="left" w:pos="939"/>
        </w:tabs>
        <w:spacing w:line="460" w:lineRule="exact"/>
        <w:ind w:left="0" w:leftChars="0" w:firstLine="480" w:firstLineChars="200"/>
        <w:rPr>
          <w:rFonts w:ascii="宋体" w:hAnsi="宋体" w:cs="宋体"/>
          <w:sz w:val="24"/>
          <w:szCs w:val="24"/>
        </w:rPr>
      </w:pPr>
      <w:r>
        <w:rPr>
          <w:rFonts w:hint="eastAsia" w:ascii="宋体" w:hAnsi="宋体" w:cs="宋体"/>
          <w:sz w:val="24"/>
          <w:szCs w:val="24"/>
        </w:rPr>
        <w:t>8.以上事项如有虚假或者隐瞒，我方愿意承担一切后果，并不再寻求任何旨在减轻或者免除法律责任的辩解。</w:t>
      </w:r>
    </w:p>
    <w:p>
      <w:pPr>
        <w:pStyle w:val="13"/>
        <w:tabs>
          <w:tab w:val="left" w:pos="939"/>
        </w:tabs>
        <w:spacing w:line="460" w:lineRule="exact"/>
        <w:ind w:left="0" w:leftChars="0" w:firstLine="480" w:firstLineChars="200"/>
        <w:rPr>
          <w:rFonts w:ascii="宋体" w:hAnsi="宋体" w:cs="宋体"/>
          <w:sz w:val="21"/>
          <w:szCs w:val="21"/>
        </w:rPr>
      </w:pPr>
      <w:r>
        <w:rPr>
          <w:rFonts w:hint="eastAsia" w:ascii="宋体" w:hAnsi="宋体" w:cs="宋体"/>
          <w:sz w:val="24"/>
          <w:szCs w:val="24"/>
        </w:rPr>
        <w:t>特此承诺。</w:t>
      </w:r>
    </w:p>
    <w:p>
      <w:pPr>
        <w:pStyle w:val="13"/>
        <w:tabs>
          <w:tab w:val="left" w:pos="939"/>
        </w:tabs>
        <w:spacing w:line="360" w:lineRule="auto"/>
        <w:ind w:left="0" w:leftChars="0" w:firstLine="420" w:firstLineChars="200"/>
        <w:jc w:val="right"/>
        <w:rPr>
          <w:rFonts w:ascii="宋体" w:hAnsi="宋体" w:cs="宋体"/>
          <w:sz w:val="21"/>
          <w:szCs w:val="21"/>
        </w:rPr>
      </w:pPr>
    </w:p>
    <w:p>
      <w:pPr>
        <w:spacing w:line="500" w:lineRule="exact"/>
        <w:ind w:firstLine="5170" w:firstLineChars="2350"/>
        <w:rPr>
          <w:rFonts w:ascii="宋体" w:hAnsi="宋体" w:cs="宋体"/>
          <w:sz w:val="22"/>
          <w:szCs w:val="22"/>
        </w:rPr>
      </w:pPr>
      <w:r>
        <w:rPr>
          <w:rFonts w:hint="eastAsia" w:ascii="宋体" w:hAnsi="宋体" w:cs="宋体"/>
          <w:sz w:val="22"/>
          <w:szCs w:val="22"/>
        </w:rPr>
        <w:t>供应商名称（CA电子签章）：</w:t>
      </w:r>
      <w:r>
        <w:rPr>
          <w:rFonts w:hint="eastAsia" w:ascii="宋体" w:hAnsi="宋体" w:cs="宋体"/>
          <w:sz w:val="22"/>
          <w:szCs w:val="22"/>
          <w:u w:val="single"/>
        </w:rPr>
        <w:t xml:space="preserve">                </w:t>
      </w:r>
    </w:p>
    <w:p>
      <w:pPr>
        <w:spacing w:line="500" w:lineRule="exact"/>
        <w:ind w:firstLine="440" w:firstLineChars="200"/>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ind w:left="440" w:firstLine="6050" w:firstLineChars="2750"/>
        <w:rPr>
          <w:rFonts w:hAnsi="宋体" w:cs="宋体"/>
          <w:sz w:val="22"/>
          <w:szCs w:val="22"/>
        </w:rPr>
      </w:pPr>
      <w:r>
        <w:rPr>
          <w:rFonts w:hint="eastAsia" w:hAnsi="宋体" w:cs="宋体"/>
          <w:sz w:val="22"/>
          <w:szCs w:val="22"/>
        </w:rPr>
        <w:t>日期：  年  月  日</w:t>
      </w:r>
    </w:p>
    <w:p>
      <w:pPr>
        <w:pStyle w:val="15"/>
        <w:spacing w:line="360" w:lineRule="auto"/>
        <w:outlineLvl w:val="2"/>
        <w:rPr>
          <w:rFonts w:hAnsi="宋体" w:cs="宋体"/>
          <w:b/>
          <w:szCs w:val="21"/>
        </w:rPr>
      </w:pPr>
      <w:r>
        <w:rPr>
          <w:rFonts w:hint="eastAsia" w:hAnsi="宋体" w:cs="宋体"/>
          <w:b/>
          <w:szCs w:val="21"/>
        </w:rPr>
        <w:br w:type="page"/>
      </w:r>
      <w:bookmarkStart w:id="156" w:name="_Toc12689"/>
      <w:bookmarkStart w:id="157" w:name="_Toc22740"/>
      <w:bookmarkStart w:id="158" w:name="_Toc32204"/>
      <w:bookmarkStart w:id="159" w:name="_Toc23433"/>
      <w:bookmarkStart w:id="160" w:name="_Toc26480"/>
      <w:bookmarkStart w:id="161" w:name="_Toc28859"/>
      <w:bookmarkStart w:id="162" w:name="_Toc25074"/>
      <w:bookmarkStart w:id="163" w:name="_Toc30462"/>
      <w:bookmarkStart w:id="164" w:name="_Toc22837"/>
      <w:bookmarkStart w:id="165" w:name="_Toc22017"/>
      <w:r>
        <w:rPr>
          <w:rFonts w:hint="eastAsia" w:hAnsi="宋体" w:cs="宋体"/>
          <w:b/>
          <w:sz w:val="24"/>
          <w:szCs w:val="24"/>
        </w:rPr>
        <w:t>二、营业执照(或事业法人登记证或其他工商等登记证明材料)复印件（供应商为自然人的，提供自然人的身份证明）</w:t>
      </w:r>
      <w:bookmarkEnd w:id="156"/>
      <w:bookmarkEnd w:id="157"/>
      <w:bookmarkEnd w:id="158"/>
      <w:bookmarkEnd w:id="159"/>
      <w:bookmarkEnd w:id="160"/>
      <w:bookmarkEnd w:id="161"/>
      <w:bookmarkEnd w:id="162"/>
      <w:bookmarkEnd w:id="163"/>
      <w:bookmarkEnd w:id="164"/>
      <w:bookmarkEnd w:id="165"/>
    </w:p>
    <w:p>
      <w:pPr>
        <w:pStyle w:val="15"/>
        <w:spacing w:line="360" w:lineRule="auto"/>
        <w:ind w:firstLine="402" w:firstLineChars="200"/>
        <w:rPr>
          <w:rFonts w:hAnsi="宋体" w:cs="宋体"/>
          <w:b/>
          <w:szCs w:val="21"/>
        </w:rPr>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napToGrid w:val="0"/>
        <w:spacing w:before="120" w:beforeLines="50" w:after="50" w:line="360" w:lineRule="auto"/>
        <w:rPr>
          <w:rFonts w:ascii="宋体" w:hAnsi="宋体" w:cs="宋体"/>
          <w:szCs w:val="21"/>
        </w:rPr>
      </w:pPr>
    </w:p>
    <w:p>
      <w:pPr>
        <w:snapToGrid w:val="0"/>
        <w:spacing w:before="50" w:after="120" w:afterLines="50" w:line="360" w:lineRule="auto"/>
        <w:outlineLvl w:val="2"/>
        <w:rPr>
          <w:sz w:val="32"/>
          <w:szCs w:val="32"/>
        </w:rPr>
      </w:pPr>
      <w:r>
        <w:rPr>
          <w:rFonts w:hint="eastAsia" w:hAnsi="宋体" w:cs="宋体"/>
          <w:b/>
          <w:szCs w:val="21"/>
        </w:rPr>
        <w:br w:type="page"/>
      </w:r>
      <w:bookmarkStart w:id="166" w:name="_Toc4755"/>
      <w:bookmarkStart w:id="167" w:name="_Toc26110"/>
      <w:bookmarkStart w:id="168" w:name="_Toc18653"/>
      <w:bookmarkStart w:id="169" w:name="_Toc26218"/>
      <w:bookmarkStart w:id="170" w:name="_Toc6226"/>
      <w:bookmarkStart w:id="171" w:name="_Toc25949"/>
      <w:bookmarkStart w:id="172" w:name="_Toc24162"/>
      <w:bookmarkStart w:id="173" w:name="_Toc15964"/>
      <w:bookmarkStart w:id="174" w:name="_Toc2533"/>
      <w:r>
        <w:rPr>
          <w:rFonts w:hint="eastAsia" w:hAnsi="宋体" w:cs="宋体"/>
          <w:b/>
          <w:szCs w:val="21"/>
        </w:rPr>
        <w:t>三</w:t>
      </w:r>
      <w:r>
        <w:rPr>
          <w:rFonts w:hint="eastAsia" w:ascii="宋体" w:hAnsi="宋体" w:cs="宋体"/>
          <w:b/>
          <w:kern w:val="0"/>
          <w:szCs w:val="21"/>
        </w:rPr>
        <w:t>、政府采购供应商资格信用承诺函</w:t>
      </w:r>
      <w:bookmarkEnd w:id="166"/>
      <w:bookmarkEnd w:id="167"/>
      <w:bookmarkEnd w:id="168"/>
      <w:bookmarkEnd w:id="169"/>
      <w:bookmarkEnd w:id="170"/>
      <w:bookmarkEnd w:id="171"/>
      <w:bookmarkEnd w:id="172"/>
      <w:bookmarkEnd w:id="173"/>
      <w:bookmarkEnd w:id="174"/>
    </w:p>
    <w:p>
      <w:pPr>
        <w:autoSpaceDE w:val="0"/>
        <w:autoSpaceDN w:val="0"/>
        <w:adjustRightInd w:val="0"/>
        <w:spacing w:line="360" w:lineRule="auto"/>
        <w:rPr>
          <w:rFonts w:ascii="宋体" w:hAnsi="宋体" w:cs="宋体"/>
          <w:spacing w:val="6"/>
        </w:rPr>
      </w:pPr>
    </w:p>
    <w:p>
      <w:pPr>
        <w:pStyle w:val="14"/>
        <w:ind w:left="0"/>
        <w:jc w:val="center"/>
        <w:rPr>
          <w:sz w:val="28"/>
          <w:szCs w:val="36"/>
        </w:rPr>
      </w:pPr>
      <w:r>
        <w:rPr>
          <w:rFonts w:hint="eastAsia" w:ascii="宋体" w:hAnsi="宋体" w:cs="宋体"/>
          <w:b/>
          <w:kern w:val="0"/>
          <w:sz w:val="28"/>
          <w:szCs w:val="28"/>
        </w:rPr>
        <w:t>政府采购供应商资格信用承诺函</w:t>
      </w:r>
    </w:p>
    <w:p>
      <w:pPr>
        <w:autoSpaceDE w:val="0"/>
        <w:autoSpaceDN w:val="0"/>
        <w:adjustRightInd w:val="0"/>
        <w:spacing w:line="360" w:lineRule="auto"/>
        <w:rPr>
          <w:rFonts w:ascii="宋体" w:hAnsi="宋体" w:cs="宋体"/>
          <w:spacing w:val="6"/>
        </w:rPr>
      </w:pPr>
    </w:p>
    <w:p>
      <w:pPr>
        <w:autoSpaceDE w:val="0"/>
        <w:autoSpaceDN w:val="0"/>
        <w:adjustRightInd w:val="0"/>
        <w:spacing w:line="360" w:lineRule="auto"/>
        <w:rPr>
          <w:rFonts w:ascii="宋体" w:hAnsi="宋体" w:cs="宋体"/>
          <w:spacing w:val="6"/>
          <w:szCs w:val="21"/>
        </w:rPr>
      </w:pPr>
      <w:r>
        <w:rPr>
          <w:rFonts w:hint="eastAsia" w:ascii="宋体" w:hAnsi="宋体" w:cs="宋体"/>
          <w:spacing w:val="6"/>
          <w:szCs w:val="21"/>
        </w:rPr>
        <w:t>致：</w:t>
      </w:r>
      <w:r>
        <w:rPr>
          <w:rFonts w:hint="eastAsia" w:ascii="宋体" w:hAnsi="宋体" w:cs="宋体"/>
          <w:spacing w:val="6"/>
          <w:szCs w:val="21"/>
          <w:u w:val="single"/>
        </w:rPr>
        <w:t>（采购人名称）、（代理机构名称）</w:t>
      </w:r>
      <w:r>
        <w:rPr>
          <w:rFonts w:hint="eastAsia" w:ascii="宋体" w:hAnsi="宋体" w:cs="宋体"/>
          <w:spacing w:val="6"/>
          <w:szCs w:val="21"/>
        </w:rPr>
        <w:t>：</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我方自愿参加</w:t>
      </w:r>
      <w:r>
        <w:rPr>
          <w:rFonts w:hint="eastAsia" w:ascii="宋体" w:hAnsi="宋体" w:cs="宋体"/>
          <w:spacing w:val="6"/>
          <w:szCs w:val="21"/>
          <w:u w:val="single"/>
        </w:rPr>
        <w:t xml:space="preserve">                  </w:t>
      </w:r>
      <w:r>
        <w:rPr>
          <w:rFonts w:hint="eastAsia" w:ascii="宋体" w:hAnsi="宋体" w:cs="宋体"/>
          <w:spacing w:val="6"/>
          <w:szCs w:val="21"/>
        </w:rPr>
        <w:t>项目（项目编号：</w:t>
      </w:r>
      <w:r>
        <w:rPr>
          <w:rFonts w:hint="eastAsia" w:ascii="宋体" w:hAnsi="宋体" w:cs="宋体"/>
          <w:spacing w:val="6"/>
          <w:szCs w:val="21"/>
          <w:u w:val="single"/>
        </w:rPr>
        <w:t xml:space="preserve">         </w:t>
      </w:r>
      <w:r>
        <w:rPr>
          <w:rFonts w:hint="eastAsia" w:ascii="宋体" w:hAnsi="宋体" w:cs="宋体"/>
          <w:spacing w:val="6"/>
          <w:szCs w:val="21"/>
        </w:rPr>
        <w:t xml:space="preserve">）的政府采购活动，并郑重承诺我方符合《中华人民共和国政府采购法》第二十二条规定的条件： </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 xml:space="preserve">（一）具有独立承担民事责任的能力； </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 xml:space="preserve">（二）具有良好的商业信誉和健全的财务会计制度； </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 xml:space="preserve">（三）具有履行合同所必需的设备和专业技术能力； </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 xml:space="preserve">（四）有依法缴纳税收和社会保障资金的良好记录； </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 xml:space="preserve">（五）参加政府采购活动前三年内，在经营活动中没有重大违法记录； </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 xml:space="preserve">（六）法律、行政法规规定的其他条件。 </w:t>
      </w:r>
    </w:p>
    <w:p>
      <w:pPr>
        <w:autoSpaceDE w:val="0"/>
        <w:autoSpaceDN w:val="0"/>
        <w:adjustRightInd w:val="0"/>
        <w:spacing w:line="360" w:lineRule="auto"/>
        <w:ind w:firstLine="640"/>
        <w:rPr>
          <w:rFonts w:ascii="宋体" w:hAnsi="宋体" w:cs="宋体"/>
          <w:spacing w:val="6"/>
          <w:szCs w:val="21"/>
        </w:rPr>
      </w:pPr>
      <w:r>
        <w:rPr>
          <w:rFonts w:hint="eastAsia" w:ascii="宋体" w:hAnsi="宋体" w:cs="宋体"/>
          <w:spacing w:val="6"/>
          <w:szCs w:val="21"/>
        </w:rPr>
        <w:t xml:space="preserve">我方保证上述承诺事项的真实性，如有弄虚作假或其他违法违规行为，愿意承担一切法律责任，并承担因此所造成的一切损失。 </w:t>
      </w:r>
    </w:p>
    <w:p>
      <w:pPr>
        <w:autoSpaceDE w:val="0"/>
        <w:autoSpaceDN w:val="0"/>
        <w:adjustRightInd w:val="0"/>
        <w:spacing w:line="360" w:lineRule="auto"/>
        <w:ind w:firstLine="640"/>
        <w:rPr>
          <w:rFonts w:ascii="宋体" w:hAnsi="宋体" w:cs="宋体"/>
          <w:b/>
          <w:bCs/>
          <w:spacing w:val="6"/>
          <w:szCs w:val="21"/>
        </w:rPr>
      </w:pPr>
    </w:p>
    <w:p>
      <w:pPr>
        <w:autoSpaceDE w:val="0"/>
        <w:autoSpaceDN w:val="0"/>
        <w:adjustRightInd w:val="0"/>
        <w:spacing w:line="360" w:lineRule="auto"/>
        <w:ind w:firstLine="640"/>
        <w:rPr>
          <w:rFonts w:ascii="宋体" w:hAnsi="宋体" w:cs="宋体"/>
          <w:spacing w:val="6"/>
        </w:rPr>
      </w:pPr>
      <w:r>
        <w:rPr>
          <w:rFonts w:hint="eastAsia" w:ascii="宋体" w:hAnsi="宋体" w:cs="宋体"/>
          <w:b/>
          <w:bCs/>
          <w:spacing w:val="6"/>
          <w:szCs w:val="21"/>
        </w:rPr>
        <w:t>特此声明！</w:t>
      </w:r>
      <w:r>
        <w:rPr>
          <w:rFonts w:hint="eastAsia" w:ascii="宋体" w:hAnsi="宋体" w:cs="宋体"/>
          <w:spacing w:val="6"/>
        </w:rPr>
        <w:t xml:space="preserve"> </w:t>
      </w:r>
    </w:p>
    <w:p>
      <w:pPr>
        <w:pStyle w:val="24"/>
        <w:spacing w:line="360" w:lineRule="auto"/>
        <w:ind w:left="480" w:firstLine="504"/>
        <w:rPr>
          <w:rFonts w:ascii="宋体" w:hAnsi="宋体" w:cs="宋体"/>
          <w:spacing w:val="6"/>
        </w:rPr>
      </w:pPr>
    </w:p>
    <w:p>
      <w:pPr>
        <w:spacing w:line="360" w:lineRule="auto"/>
        <w:rPr>
          <w:rFonts w:ascii="宋体" w:hAnsi="宋体" w:cs="宋体"/>
        </w:rPr>
      </w:pPr>
    </w:p>
    <w:p>
      <w:pPr>
        <w:spacing w:line="500" w:lineRule="exact"/>
        <w:ind w:firstLine="3720" w:firstLineChars="1550"/>
        <w:rPr>
          <w:rFonts w:ascii="宋体" w:hAnsi="宋体" w:cs="宋体"/>
          <w:sz w:val="22"/>
          <w:szCs w:val="22"/>
        </w:rPr>
      </w:pPr>
      <w:r>
        <w:rPr>
          <w:rFonts w:hint="eastAsia" w:ascii="宋体" w:hAnsi="宋体" w:cs="宋体"/>
        </w:rPr>
        <w:t xml:space="preserve">           </w:t>
      </w:r>
      <w:r>
        <w:rPr>
          <w:rFonts w:hint="eastAsia" w:ascii="宋体" w:hAnsi="宋体" w:cs="宋体"/>
          <w:sz w:val="22"/>
          <w:szCs w:val="22"/>
        </w:rPr>
        <w:t>供应商名称（CA电子签章）：</w:t>
      </w:r>
      <w:r>
        <w:rPr>
          <w:rFonts w:hint="eastAsia" w:ascii="宋体" w:hAnsi="宋体" w:cs="宋体"/>
          <w:sz w:val="22"/>
          <w:szCs w:val="22"/>
          <w:u w:val="single"/>
        </w:rPr>
        <w:t xml:space="preserve">                </w:t>
      </w:r>
    </w:p>
    <w:p>
      <w:pPr>
        <w:spacing w:line="500" w:lineRule="exact"/>
        <w:ind w:firstLine="440" w:firstLineChars="200"/>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ind w:left="440" w:firstLine="6050" w:firstLineChars="2750"/>
        <w:rPr>
          <w:rFonts w:hAnsi="宋体" w:cs="宋体"/>
          <w:sz w:val="22"/>
          <w:szCs w:val="22"/>
        </w:rPr>
      </w:pPr>
      <w:r>
        <w:rPr>
          <w:rFonts w:hint="eastAsia" w:hAnsi="宋体" w:cs="宋体"/>
          <w:sz w:val="22"/>
          <w:szCs w:val="22"/>
        </w:rPr>
        <w:t>日期：  年  月  日</w:t>
      </w:r>
    </w:p>
    <w:p>
      <w:pPr>
        <w:pStyle w:val="15"/>
        <w:spacing w:line="360" w:lineRule="auto"/>
        <w:jc w:val="right"/>
        <w:rPr>
          <w:rFonts w:hAnsi="宋体" w:cs="宋体"/>
          <w:szCs w:val="24"/>
        </w:rPr>
      </w:pPr>
    </w:p>
    <w:p>
      <w:pPr>
        <w:pStyle w:val="15"/>
        <w:spacing w:line="360" w:lineRule="auto"/>
        <w:rPr>
          <w:rFonts w:hAnsi="宋体" w:cs="宋体"/>
          <w:b/>
          <w:szCs w:val="24"/>
        </w:rPr>
      </w:pPr>
    </w:p>
    <w:p>
      <w:pPr>
        <w:pStyle w:val="15"/>
        <w:spacing w:line="360" w:lineRule="auto"/>
        <w:ind w:firstLine="402" w:firstLineChars="200"/>
        <w:rPr>
          <w:rFonts w:hAnsi="宋体" w:cs="宋体"/>
          <w:b/>
          <w:szCs w:val="24"/>
        </w:rPr>
      </w:pPr>
    </w:p>
    <w:p>
      <w:pPr>
        <w:autoSpaceDE w:val="0"/>
        <w:autoSpaceDN w:val="0"/>
        <w:spacing w:line="360" w:lineRule="auto"/>
        <w:ind w:firstLine="6144" w:firstLineChars="2550"/>
        <w:rPr>
          <w:rFonts w:ascii="宋体" w:hAnsi="宋体" w:cs="宋体"/>
          <w:b/>
          <w:bCs/>
          <w:szCs w:val="21"/>
        </w:rPr>
      </w:pPr>
    </w:p>
    <w:p>
      <w:pPr>
        <w:spacing w:line="360" w:lineRule="auto"/>
        <w:contextualSpacing/>
        <w:outlineLvl w:val="2"/>
        <w:rPr>
          <w:rFonts w:ascii="宋体" w:hAnsi="宋体" w:cs="宋体"/>
          <w:b/>
          <w:kern w:val="0"/>
          <w:szCs w:val="21"/>
        </w:rPr>
      </w:pPr>
      <w:r>
        <w:rPr>
          <w:rFonts w:hint="eastAsia" w:ascii="宋体" w:hAnsi="宋体" w:cs="宋体"/>
          <w:b/>
          <w:kern w:val="0"/>
          <w:szCs w:val="21"/>
        </w:rPr>
        <w:br w:type="page"/>
      </w:r>
      <w:bookmarkStart w:id="175" w:name="_Toc18787"/>
      <w:bookmarkStart w:id="176" w:name="_Toc20861"/>
      <w:bookmarkStart w:id="177" w:name="_Toc6591"/>
      <w:bookmarkStart w:id="178" w:name="_Toc5297"/>
      <w:bookmarkStart w:id="179" w:name="_Toc17580"/>
      <w:bookmarkStart w:id="180" w:name="_Toc31806"/>
      <w:bookmarkStart w:id="181" w:name="_Toc29458"/>
      <w:bookmarkStart w:id="182" w:name="_Toc26294"/>
      <w:bookmarkStart w:id="183" w:name="_Toc27961"/>
      <w:bookmarkStart w:id="184" w:name="_Toc390"/>
      <w:r>
        <w:rPr>
          <w:rFonts w:hint="eastAsia" w:ascii="宋体" w:hAnsi="宋体" w:cs="宋体"/>
          <w:b/>
          <w:kern w:val="0"/>
          <w:szCs w:val="21"/>
        </w:rPr>
        <w:t>四、供应商控股及管理关系情况申报表</w:t>
      </w:r>
      <w:bookmarkEnd w:id="175"/>
      <w:bookmarkEnd w:id="176"/>
      <w:bookmarkEnd w:id="177"/>
      <w:bookmarkEnd w:id="178"/>
      <w:bookmarkEnd w:id="179"/>
      <w:bookmarkEnd w:id="180"/>
      <w:bookmarkEnd w:id="181"/>
      <w:bookmarkEnd w:id="182"/>
      <w:bookmarkEnd w:id="183"/>
      <w:bookmarkEnd w:id="184"/>
    </w:p>
    <w:p>
      <w:pPr>
        <w:spacing w:line="360" w:lineRule="auto"/>
        <w:contextualSpacing/>
        <w:jc w:val="center"/>
        <w:rPr>
          <w:rFonts w:ascii="宋体" w:hAnsi="宋体" w:cs="宋体"/>
          <w:b/>
          <w:szCs w:val="21"/>
        </w:rPr>
      </w:pPr>
    </w:p>
    <w:p>
      <w:pPr>
        <w:spacing w:line="440" w:lineRule="exact"/>
        <w:rPr>
          <w:rFonts w:hint="default" w:ascii="宋体" w:hAnsi="宋体" w:cs="宋体"/>
          <w:szCs w:val="21"/>
          <w:lang w:val="en-US"/>
        </w:rPr>
      </w:pPr>
      <w:r>
        <w:rPr>
          <w:rFonts w:hint="eastAsia" w:ascii="宋体" w:hAnsi="宋体" w:cs="宋体"/>
          <w:szCs w:val="21"/>
        </w:rPr>
        <w:t>致：</w:t>
      </w:r>
      <w:r>
        <w:rPr>
          <w:rFonts w:hint="eastAsia" w:ascii="宋体" w:hAnsi="宋体" w:cs="宋体"/>
          <w:sz w:val="22"/>
          <w:szCs w:val="22"/>
          <w:u w:val="single"/>
        </w:rPr>
        <w:t xml:space="preserve"> </w:t>
      </w:r>
      <w:r>
        <w:rPr>
          <w:rFonts w:hint="eastAsia" w:ascii="宋体" w:hAnsi="宋体" w:eastAsia="宋体" w:cs="宋体"/>
          <w:spacing w:val="6"/>
          <w:sz w:val="24"/>
          <w:szCs w:val="24"/>
          <w:u w:val="single"/>
          <w:lang w:eastAsia="zh-CN"/>
        </w:rPr>
        <w:t>（采购人名称）、（代理机构名称）</w:t>
      </w:r>
      <w:r>
        <w:rPr>
          <w:rFonts w:hint="eastAsia" w:ascii="宋体" w:hAnsi="宋体" w:cs="宋体"/>
          <w:spacing w:val="6"/>
          <w:sz w:val="24"/>
          <w:szCs w:val="24"/>
          <w:u w:val="single"/>
          <w:lang w:val="en-US" w:eastAsia="zh-CN"/>
        </w:rPr>
        <w:t xml:space="preserve">  </w:t>
      </w:r>
    </w:p>
    <w:p>
      <w:pPr>
        <w:spacing w:line="440" w:lineRule="exact"/>
        <w:ind w:firstLine="480" w:firstLineChars="200"/>
        <w:rPr>
          <w:rFonts w:ascii="宋体" w:hAnsi="宋体" w:cs="宋体"/>
          <w:szCs w:val="21"/>
        </w:rPr>
      </w:pPr>
      <w:r>
        <w:rPr>
          <w:rFonts w:hint="eastAsia" w:ascii="宋体" w:hAnsi="宋体" w:cs="宋体"/>
          <w:szCs w:val="21"/>
        </w:rPr>
        <w:t>我单位参加</w:t>
      </w:r>
      <w:r>
        <w:rPr>
          <w:rFonts w:hint="eastAsia" w:ascii="宋体" w:hAnsi="宋体" w:cs="宋体"/>
          <w:szCs w:val="21"/>
          <w:u w:val="single"/>
        </w:rPr>
        <w:t xml:space="preserve">   （项目名称）      </w:t>
      </w:r>
      <w:r>
        <w:rPr>
          <w:rFonts w:hint="eastAsia" w:ascii="宋体" w:hAnsi="宋体" w:cs="宋体"/>
          <w:szCs w:val="21"/>
        </w:rPr>
        <w:t>的竞争性磋商，根据《中华人民共和国政府采购法》及相关规定，特就本单位控股及管理关系情况申报如下，并承担申报不实的责任。</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宋体" w:hAnsi="宋体" w:cs="宋体"/>
                <w:szCs w:val="21"/>
              </w:rPr>
            </w:pPr>
            <w:r>
              <w:rPr>
                <w:rFonts w:hint="eastAsia" w:ascii="宋体" w:hAnsi="宋体" w:cs="宋体"/>
                <w:szCs w:val="21"/>
              </w:rPr>
              <w:t>供应商名称</w:t>
            </w:r>
          </w:p>
        </w:tc>
        <w:tc>
          <w:tcPr>
            <w:tcW w:w="6455" w:type="dxa"/>
            <w:gridSpan w:val="2"/>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line="360" w:lineRule="exact"/>
              <w:rPr>
                <w:rFonts w:ascii="宋体" w:hAnsi="宋体" w:cs="宋体"/>
                <w:szCs w:val="21"/>
              </w:rPr>
            </w:pPr>
            <w:r>
              <w:rPr>
                <w:rFonts w:hint="eastAsia" w:ascii="宋体" w:hAnsi="宋体" w:cs="宋体"/>
                <w:szCs w:val="21"/>
              </w:rPr>
              <w:t>法定代表人/单位负责人</w:t>
            </w:r>
          </w:p>
        </w:tc>
        <w:tc>
          <w:tcPr>
            <w:tcW w:w="2627" w:type="dxa"/>
            <w:vAlign w:val="center"/>
          </w:tcPr>
          <w:p>
            <w:pPr>
              <w:spacing w:line="360" w:lineRule="exact"/>
              <w:rPr>
                <w:rFonts w:ascii="宋体" w:hAnsi="宋体" w:cs="宋体"/>
                <w:szCs w:val="21"/>
              </w:rPr>
            </w:pPr>
            <w:r>
              <w:rPr>
                <w:rFonts w:hint="eastAsia" w:ascii="宋体" w:hAnsi="宋体" w:cs="宋体"/>
                <w:szCs w:val="21"/>
              </w:rPr>
              <w:t>姓    名</w:t>
            </w:r>
          </w:p>
        </w:tc>
        <w:tc>
          <w:tcPr>
            <w:tcW w:w="382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line="360" w:lineRule="exact"/>
              <w:rPr>
                <w:rFonts w:ascii="宋体" w:hAnsi="宋体" w:cs="宋体"/>
                <w:szCs w:val="21"/>
              </w:rPr>
            </w:pPr>
          </w:p>
        </w:tc>
        <w:tc>
          <w:tcPr>
            <w:tcW w:w="2627" w:type="dxa"/>
            <w:vAlign w:val="center"/>
          </w:tcPr>
          <w:p>
            <w:pPr>
              <w:spacing w:line="360" w:lineRule="exact"/>
              <w:rPr>
                <w:rFonts w:ascii="宋体" w:hAnsi="宋体" w:cs="宋体"/>
                <w:szCs w:val="21"/>
              </w:rPr>
            </w:pPr>
            <w:r>
              <w:rPr>
                <w:rFonts w:hint="eastAsia" w:ascii="宋体" w:hAnsi="宋体" w:cs="宋体"/>
                <w:szCs w:val="21"/>
              </w:rPr>
              <w:t>身份证号</w:t>
            </w:r>
          </w:p>
        </w:tc>
        <w:tc>
          <w:tcPr>
            <w:tcW w:w="382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line="360" w:lineRule="exact"/>
              <w:rPr>
                <w:rFonts w:ascii="宋体" w:hAnsi="宋体" w:cs="宋体"/>
                <w:szCs w:val="21"/>
              </w:rPr>
            </w:pPr>
            <w:r>
              <w:rPr>
                <w:rFonts w:hint="eastAsia" w:ascii="宋体" w:hAnsi="宋体" w:cs="宋体"/>
                <w:szCs w:val="21"/>
              </w:rPr>
              <w:t>控股股东/投资人名称及出资比例</w:t>
            </w:r>
          </w:p>
        </w:tc>
        <w:tc>
          <w:tcPr>
            <w:tcW w:w="6455" w:type="dxa"/>
            <w:gridSpan w:val="2"/>
            <w:vAlign w:val="center"/>
          </w:tcPr>
          <w:p>
            <w:pPr>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line="360" w:lineRule="exact"/>
              <w:rPr>
                <w:rFonts w:ascii="宋体" w:hAnsi="宋体" w:cs="宋体"/>
                <w:szCs w:val="21"/>
              </w:rPr>
            </w:pPr>
            <w:r>
              <w:rPr>
                <w:rFonts w:hint="eastAsia" w:ascii="宋体" w:hAnsi="宋体" w:cs="宋体"/>
                <w:szCs w:val="21"/>
              </w:rPr>
              <w:t>非控股股东/投资人名称及出资比例</w:t>
            </w:r>
          </w:p>
        </w:tc>
        <w:tc>
          <w:tcPr>
            <w:tcW w:w="6455" w:type="dxa"/>
            <w:gridSpan w:val="2"/>
            <w:vAlign w:val="center"/>
          </w:tcPr>
          <w:p>
            <w:pPr>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line="360" w:lineRule="exact"/>
              <w:rPr>
                <w:rFonts w:ascii="宋体" w:hAnsi="宋体" w:cs="宋体"/>
                <w:szCs w:val="21"/>
              </w:rPr>
            </w:pPr>
            <w:r>
              <w:rPr>
                <w:rFonts w:hint="eastAsia" w:ascii="宋体" w:hAnsi="宋体" w:cs="宋体"/>
                <w:szCs w:val="21"/>
              </w:rPr>
              <w:t>管理关系单位名称</w:t>
            </w:r>
          </w:p>
        </w:tc>
        <w:tc>
          <w:tcPr>
            <w:tcW w:w="2627" w:type="dxa"/>
            <w:vAlign w:val="center"/>
          </w:tcPr>
          <w:p>
            <w:pPr>
              <w:spacing w:line="360" w:lineRule="exact"/>
              <w:rPr>
                <w:rFonts w:ascii="宋体" w:hAnsi="宋体" w:cs="宋体"/>
                <w:szCs w:val="21"/>
              </w:rPr>
            </w:pPr>
            <w:r>
              <w:rPr>
                <w:rFonts w:hint="eastAsia" w:ascii="宋体" w:hAnsi="宋体" w:cs="宋体"/>
                <w:szCs w:val="21"/>
              </w:rPr>
              <w:t>管理关系单位名称</w:t>
            </w:r>
          </w:p>
        </w:tc>
        <w:tc>
          <w:tcPr>
            <w:tcW w:w="382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line="360" w:lineRule="exact"/>
              <w:rPr>
                <w:rFonts w:ascii="宋体" w:hAnsi="宋体" w:cs="宋体"/>
                <w:szCs w:val="21"/>
              </w:rPr>
            </w:pPr>
          </w:p>
        </w:tc>
        <w:tc>
          <w:tcPr>
            <w:tcW w:w="2627" w:type="dxa"/>
            <w:vAlign w:val="center"/>
          </w:tcPr>
          <w:p>
            <w:pPr>
              <w:spacing w:line="360" w:lineRule="exact"/>
              <w:rPr>
                <w:rFonts w:ascii="宋体" w:hAnsi="宋体" w:cs="宋体"/>
                <w:szCs w:val="21"/>
              </w:rPr>
            </w:pPr>
            <w:r>
              <w:rPr>
                <w:rFonts w:hint="eastAsia" w:ascii="宋体" w:hAnsi="宋体" w:cs="宋体"/>
                <w:szCs w:val="21"/>
              </w:rPr>
              <w:t>被管理关系单位名称</w:t>
            </w:r>
          </w:p>
        </w:tc>
        <w:tc>
          <w:tcPr>
            <w:tcW w:w="382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宋体" w:hAnsi="宋体" w:cs="宋体"/>
                <w:szCs w:val="21"/>
              </w:rPr>
            </w:pPr>
            <w:r>
              <w:rPr>
                <w:rFonts w:hint="eastAsia" w:ascii="宋体" w:hAnsi="宋体" w:cs="宋体"/>
                <w:szCs w:val="21"/>
              </w:rPr>
              <w:t>备注：</w:t>
            </w:r>
          </w:p>
        </w:tc>
      </w:tr>
    </w:tbl>
    <w:p>
      <w:pPr>
        <w:spacing w:line="340" w:lineRule="exact"/>
        <w:rPr>
          <w:rFonts w:ascii="宋体" w:hAnsi="宋体" w:cs="宋体"/>
          <w:szCs w:val="21"/>
        </w:rPr>
      </w:pPr>
      <w:r>
        <w:rPr>
          <w:rFonts w:hint="eastAsia" w:ascii="宋体" w:hAnsi="宋体" w:cs="宋体"/>
          <w:szCs w:val="21"/>
        </w:rPr>
        <w:t>注：</w:t>
      </w:r>
    </w:p>
    <w:p>
      <w:pPr>
        <w:pStyle w:val="41"/>
        <w:numPr>
          <w:ilvl w:val="0"/>
          <w:numId w:val="5"/>
        </w:numPr>
        <w:adjustRightInd w:val="0"/>
        <w:snapToGrid w:val="0"/>
        <w:spacing w:line="340" w:lineRule="exact"/>
        <w:ind w:firstLineChars="0"/>
        <w:rPr>
          <w:rFonts w:ascii="宋体" w:hAnsi="宋体" w:cs="宋体"/>
          <w:szCs w:val="21"/>
        </w:rPr>
      </w:pPr>
      <w:r>
        <w:rPr>
          <w:rFonts w:hint="eastAsia" w:ascii="宋体" w:hAnsi="宋体" w:cs="宋体"/>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r>
        <w:rPr>
          <w:rFonts w:hint="eastAsia" w:ascii="宋体" w:hAnsi="宋体" w:cs="宋体"/>
          <w:szCs w:val="21"/>
        </w:rPr>
        <w:t>控股股东/投资人是指出资比例在50%以上，或者出资比例不足50%，但享有公司股东会/董事会控制权的投资方（含单位或者个人）；</w:t>
      </w:r>
    </w:p>
    <w:p>
      <w:pPr>
        <w:pStyle w:val="41"/>
        <w:numPr>
          <w:ilvl w:val="0"/>
          <w:numId w:val="5"/>
        </w:numPr>
        <w:adjustRightInd w:val="0"/>
        <w:snapToGrid w:val="0"/>
        <w:spacing w:line="340" w:lineRule="exact"/>
        <w:ind w:firstLineChars="0"/>
        <w:rPr>
          <w:rFonts w:ascii="宋体" w:hAnsi="宋体" w:cs="宋体"/>
          <w:szCs w:val="21"/>
        </w:rPr>
      </w:pPr>
      <w:r>
        <w:rPr>
          <w:rFonts w:hint="eastAsia" w:ascii="宋体" w:hAnsi="宋体" w:cs="宋体"/>
          <w:szCs w:val="21"/>
        </w:rPr>
        <w:t xml:space="preserve">管理关系单位是指与不具有出资持股关系的其他单位之间存在管理与被管理关系的单位； </w:t>
      </w:r>
    </w:p>
    <w:p>
      <w:pPr>
        <w:pStyle w:val="41"/>
        <w:numPr>
          <w:ilvl w:val="0"/>
          <w:numId w:val="5"/>
        </w:numPr>
        <w:adjustRightInd w:val="0"/>
        <w:snapToGrid w:val="0"/>
        <w:spacing w:line="340" w:lineRule="exact"/>
        <w:ind w:firstLineChars="0"/>
        <w:rPr>
          <w:rFonts w:ascii="宋体" w:hAnsi="宋体" w:cs="宋体"/>
          <w:szCs w:val="21"/>
        </w:rPr>
      </w:pPr>
      <w:r>
        <w:rPr>
          <w:rFonts w:hint="eastAsia" w:ascii="宋体" w:hAnsi="宋体" w:cs="宋体"/>
          <w:szCs w:val="21"/>
        </w:rPr>
        <w:t>如未有相关情况，请在相应栏填写“无”。</w:t>
      </w:r>
    </w:p>
    <w:p>
      <w:pPr>
        <w:snapToGrid w:val="0"/>
        <w:spacing w:line="360" w:lineRule="auto"/>
        <w:jc w:val="left"/>
        <w:rPr>
          <w:rFonts w:ascii="宋体" w:hAnsi="宋体" w:cs="宋体"/>
          <w:szCs w:val="21"/>
        </w:rPr>
      </w:pPr>
    </w:p>
    <w:p>
      <w:pPr>
        <w:spacing w:line="500" w:lineRule="exact"/>
        <w:ind w:firstLine="4950" w:firstLineChars="2250"/>
        <w:rPr>
          <w:rFonts w:ascii="宋体" w:hAnsi="宋体" w:cs="宋体"/>
          <w:sz w:val="22"/>
          <w:szCs w:val="22"/>
        </w:rPr>
      </w:pPr>
      <w:r>
        <w:rPr>
          <w:rFonts w:hint="eastAsia" w:ascii="宋体" w:hAnsi="宋体" w:cs="宋体"/>
          <w:sz w:val="22"/>
          <w:szCs w:val="22"/>
        </w:rPr>
        <w:t>供应商名称（CA电子签章）：</w:t>
      </w:r>
      <w:r>
        <w:rPr>
          <w:rFonts w:hint="eastAsia" w:ascii="宋体" w:hAnsi="宋体" w:cs="宋体"/>
          <w:sz w:val="22"/>
          <w:szCs w:val="22"/>
          <w:u w:val="single"/>
        </w:rPr>
        <w:t xml:space="preserve">                </w:t>
      </w:r>
    </w:p>
    <w:p>
      <w:pPr>
        <w:spacing w:line="500" w:lineRule="exact"/>
        <w:ind w:firstLine="440" w:firstLineChars="200"/>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ind w:left="440" w:firstLine="6050" w:firstLineChars="2750"/>
        <w:rPr>
          <w:rFonts w:hAnsi="宋体" w:cs="宋体"/>
          <w:sz w:val="22"/>
          <w:szCs w:val="22"/>
        </w:rPr>
      </w:pPr>
      <w:r>
        <w:rPr>
          <w:rFonts w:hint="eastAsia" w:hAnsi="宋体" w:cs="宋体"/>
          <w:sz w:val="22"/>
          <w:szCs w:val="22"/>
        </w:rPr>
        <w:t>日期：  年  月  日</w:t>
      </w:r>
    </w:p>
    <w:p>
      <w:pPr>
        <w:snapToGrid w:val="0"/>
        <w:spacing w:line="360" w:lineRule="auto"/>
        <w:rPr>
          <w:rFonts w:ascii="宋体" w:hAnsi="宋体" w:cs="宋体"/>
          <w:b/>
          <w:kern w:val="0"/>
          <w:szCs w:val="21"/>
        </w:rPr>
      </w:pPr>
    </w:p>
    <w:p>
      <w:pPr>
        <w:spacing w:line="360" w:lineRule="auto"/>
        <w:outlineLvl w:val="2"/>
        <w:rPr>
          <w:rFonts w:ascii="宋体" w:hAnsi="宋体" w:cs="宋体"/>
          <w:b/>
          <w:bCs/>
          <w:szCs w:val="21"/>
        </w:rPr>
      </w:pPr>
      <w:r>
        <w:rPr>
          <w:rFonts w:hint="eastAsia" w:hAnsi="宋体" w:cs="宋体"/>
          <w:kern w:val="0"/>
          <w:szCs w:val="21"/>
        </w:rPr>
        <w:br w:type="page"/>
      </w:r>
      <w:bookmarkStart w:id="185" w:name="_Toc3706"/>
      <w:bookmarkStart w:id="186" w:name="_Toc26507"/>
      <w:bookmarkStart w:id="187" w:name="_Toc20948"/>
      <w:bookmarkStart w:id="188" w:name="_Toc6470"/>
      <w:bookmarkStart w:id="189" w:name="_Toc20675"/>
      <w:bookmarkStart w:id="190" w:name="_Toc23919"/>
      <w:bookmarkStart w:id="191" w:name="_Toc26285"/>
      <w:bookmarkStart w:id="192" w:name="_Toc22073"/>
      <w:bookmarkStart w:id="193" w:name="_Toc26591"/>
      <w:r>
        <w:rPr>
          <w:rFonts w:hint="eastAsia" w:hAnsi="宋体" w:cs="宋体"/>
          <w:b/>
          <w:bCs/>
          <w:kern w:val="0"/>
          <w:szCs w:val="21"/>
        </w:rPr>
        <w:t>五</w:t>
      </w:r>
      <w:r>
        <w:rPr>
          <w:rFonts w:hint="eastAsia" w:ascii="宋体" w:hAnsi="宋体" w:cs="宋体"/>
          <w:b/>
          <w:bCs/>
          <w:szCs w:val="32"/>
        </w:rPr>
        <w:t>、</w:t>
      </w:r>
      <w:r>
        <w:rPr>
          <w:rFonts w:hint="eastAsia" w:ascii="宋体" w:hAnsi="宋体" w:cs="宋体"/>
          <w:b/>
          <w:bCs/>
          <w:szCs w:val="21"/>
        </w:rPr>
        <w:t>供应商如为分支机构</w:t>
      </w:r>
      <w:r>
        <w:rPr>
          <w:rFonts w:hint="eastAsia" w:ascii="宋体" w:hAnsi="宋体" w:cs="宋体"/>
          <w:b/>
          <w:bCs/>
          <w:szCs w:val="21"/>
          <w:lang w:val="en-US" w:eastAsia="zh-CN"/>
        </w:rPr>
        <w:t>竞</w:t>
      </w:r>
      <w:r>
        <w:rPr>
          <w:rFonts w:hint="eastAsia" w:ascii="宋体" w:hAnsi="宋体" w:cs="宋体"/>
          <w:b/>
          <w:bCs/>
          <w:szCs w:val="21"/>
        </w:rPr>
        <w:t>标的，须提供其总公司“营业执照”副本复印件和总公司对供应商的授权书复印件（如有，请提供）</w:t>
      </w:r>
      <w:bookmarkEnd w:id="185"/>
      <w:bookmarkEnd w:id="186"/>
      <w:bookmarkEnd w:id="187"/>
      <w:bookmarkEnd w:id="188"/>
      <w:bookmarkEnd w:id="189"/>
      <w:bookmarkEnd w:id="190"/>
      <w:bookmarkEnd w:id="191"/>
      <w:bookmarkEnd w:id="192"/>
      <w:bookmarkEnd w:id="193"/>
    </w:p>
    <w:p/>
    <w:p/>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
    <w:p>
      <w:pPr>
        <w:pStyle w:val="40"/>
        <w:tabs>
          <w:tab w:val="left" w:pos="961"/>
        </w:tabs>
        <w:ind w:firstLine="0" w:firstLineChars="0"/>
        <w:outlineLvl w:val="2"/>
        <w:rPr>
          <w:rFonts w:ascii="宋体" w:hAnsi="宋体" w:cs="宋体"/>
          <w:b/>
          <w:kern w:val="0"/>
          <w:szCs w:val="21"/>
        </w:rPr>
      </w:pPr>
      <w:r>
        <w:br w:type="page"/>
      </w:r>
      <w:bookmarkStart w:id="194" w:name="_Toc28831"/>
      <w:bookmarkStart w:id="195" w:name="_Toc254"/>
      <w:r>
        <w:rPr>
          <w:rFonts w:hint="eastAsia"/>
          <w:b/>
          <w:bCs/>
        </w:rPr>
        <w:t>六、</w:t>
      </w:r>
      <w:r>
        <w:rPr>
          <w:rFonts w:hint="eastAsia" w:ascii="宋体" w:hAnsi="宋体" w:cs="宋体"/>
          <w:b/>
          <w:bCs/>
          <w:kern w:val="0"/>
          <w:szCs w:val="21"/>
        </w:rPr>
        <w:t>联合体协议书格式</w:t>
      </w:r>
      <w:bookmarkEnd w:id="194"/>
      <w:bookmarkEnd w:id="195"/>
    </w:p>
    <w:p>
      <w:pPr>
        <w:snapToGrid w:val="0"/>
        <w:spacing w:line="360" w:lineRule="auto"/>
        <w:rPr>
          <w:rFonts w:ascii="宋体" w:hAnsi="宋体" w:cs="宋体"/>
        </w:rPr>
      </w:pPr>
    </w:p>
    <w:p>
      <w:pPr>
        <w:pStyle w:val="40"/>
        <w:tabs>
          <w:tab w:val="left" w:pos="961"/>
        </w:tabs>
        <w:ind w:firstLine="0" w:firstLineChars="0"/>
        <w:jc w:val="center"/>
        <w:rPr>
          <w:b/>
          <w:bCs/>
          <w:sz w:val="32"/>
          <w:szCs w:val="32"/>
        </w:rPr>
      </w:pPr>
      <w:r>
        <w:rPr>
          <w:b/>
          <w:bCs/>
          <w:sz w:val="32"/>
          <w:szCs w:val="32"/>
        </w:rPr>
        <w:t>联合体协议书（联合体</w:t>
      </w:r>
      <w:r>
        <w:rPr>
          <w:rFonts w:hint="eastAsia"/>
          <w:b/>
          <w:bCs/>
          <w:sz w:val="32"/>
          <w:szCs w:val="32"/>
          <w:lang w:val="en-US" w:eastAsia="zh-CN"/>
        </w:rPr>
        <w:t>供应商</w:t>
      </w:r>
      <w:r>
        <w:rPr>
          <w:b/>
          <w:bCs/>
          <w:sz w:val="32"/>
          <w:szCs w:val="32"/>
        </w:rPr>
        <w:t>适用）</w:t>
      </w:r>
    </w:p>
    <w:p>
      <w:pPr>
        <w:pStyle w:val="2"/>
        <w:spacing w:before="1"/>
      </w:pPr>
    </w:p>
    <w:p>
      <w:pPr>
        <w:pStyle w:val="2"/>
        <w:spacing w:line="400" w:lineRule="exact"/>
        <w:ind w:firstLine="367" w:firstLineChars="175"/>
        <w:rPr>
          <w:u w:val="single"/>
        </w:rPr>
      </w:pPr>
      <w:r>
        <w:rPr>
          <w:rFonts w:hint="eastAsia"/>
        </w:rPr>
        <w:t>牵头人名称：</w:t>
      </w:r>
      <w:r>
        <w:rPr>
          <w:rFonts w:hint="eastAsia"/>
          <w:u w:val="single"/>
        </w:rPr>
        <w:t xml:space="preserve">                </w:t>
      </w:r>
    </w:p>
    <w:p>
      <w:pPr>
        <w:pStyle w:val="2"/>
        <w:spacing w:line="400" w:lineRule="exact"/>
        <w:ind w:firstLine="367" w:firstLineChars="175"/>
      </w:pPr>
      <w:r>
        <w:rPr>
          <w:rFonts w:hint="eastAsia"/>
        </w:rPr>
        <w:t xml:space="preserve">法定代表人（或负责人或自然人）： </w:t>
      </w:r>
      <w:r>
        <w:rPr>
          <w:rFonts w:hint="eastAsia"/>
          <w:u w:val="single"/>
        </w:rPr>
        <w:t xml:space="preserve">                </w:t>
      </w:r>
    </w:p>
    <w:p>
      <w:pPr>
        <w:pStyle w:val="2"/>
        <w:spacing w:line="400" w:lineRule="exact"/>
        <w:ind w:firstLine="367" w:firstLineChars="175"/>
      </w:pPr>
      <w:r>
        <w:rPr>
          <w:rFonts w:hint="eastAsia"/>
        </w:rPr>
        <w:t>法定地址：</w:t>
      </w:r>
      <w:r>
        <w:rPr>
          <w:rFonts w:hint="eastAsia"/>
          <w:u w:val="single"/>
        </w:rPr>
        <w:t xml:space="preserve">                </w:t>
      </w:r>
    </w:p>
    <w:p>
      <w:pPr>
        <w:pStyle w:val="2"/>
        <w:spacing w:line="400" w:lineRule="exact"/>
        <w:ind w:firstLine="367" w:firstLineChars="175"/>
        <w:rPr>
          <w:u w:val="single"/>
        </w:rPr>
      </w:pPr>
      <w:r>
        <w:rPr>
          <w:rFonts w:hint="eastAsia"/>
        </w:rPr>
        <w:t>成员二名称：</w:t>
      </w:r>
      <w:r>
        <w:rPr>
          <w:rFonts w:hint="eastAsia"/>
          <w:u w:val="single"/>
        </w:rPr>
        <w:t xml:space="preserve">                </w:t>
      </w:r>
    </w:p>
    <w:p>
      <w:pPr>
        <w:pStyle w:val="2"/>
        <w:spacing w:line="400" w:lineRule="exact"/>
        <w:ind w:firstLine="367" w:firstLineChars="175"/>
      </w:pPr>
      <w:r>
        <w:rPr>
          <w:rFonts w:hint="eastAsia"/>
        </w:rPr>
        <w:t>法定代表人（或负责人或自然人）：</w:t>
      </w:r>
      <w:r>
        <w:rPr>
          <w:rFonts w:hint="eastAsia"/>
          <w:u w:val="single"/>
        </w:rPr>
        <w:t xml:space="preserve">                </w:t>
      </w:r>
      <w:r>
        <w:rPr>
          <w:rFonts w:hint="eastAsia"/>
        </w:rPr>
        <w:t xml:space="preserve"> </w:t>
      </w:r>
    </w:p>
    <w:p>
      <w:pPr>
        <w:pStyle w:val="2"/>
        <w:spacing w:line="400" w:lineRule="exact"/>
        <w:ind w:firstLine="367" w:firstLineChars="175"/>
      </w:pPr>
      <w:r>
        <w:rPr>
          <w:rFonts w:hint="eastAsia"/>
        </w:rPr>
        <w:t>法定地址：</w:t>
      </w:r>
      <w:r>
        <w:rPr>
          <w:rFonts w:hint="eastAsia"/>
          <w:u w:val="single"/>
        </w:rPr>
        <w:t xml:space="preserve">                </w:t>
      </w:r>
    </w:p>
    <w:p>
      <w:pPr>
        <w:pStyle w:val="2"/>
        <w:spacing w:line="400" w:lineRule="exact"/>
        <w:ind w:firstLine="367" w:firstLineChars="175"/>
      </w:pPr>
      <w:r>
        <w:rPr>
          <w:rFonts w:hint="eastAsia"/>
        </w:rPr>
        <w:t>……</w:t>
      </w:r>
    </w:p>
    <w:p>
      <w:pPr>
        <w:pStyle w:val="2"/>
        <w:spacing w:line="400" w:lineRule="exact"/>
        <w:ind w:firstLine="367" w:firstLineChars="175"/>
      </w:pPr>
      <w:r>
        <w:rPr>
          <w:rFonts w:hint="eastAsia"/>
        </w:rPr>
        <w:t>鉴于上述各成员单位经过友好协商，自愿组成</w:t>
      </w:r>
      <w:r>
        <w:rPr>
          <w:rFonts w:hint="eastAsia"/>
          <w:u w:val="single"/>
        </w:rPr>
        <w:t xml:space="preserve"> （联合体名称）                  </w:t>
      </w:r>
      <w:r>
        <w:rPr>
          <w:rFonts w:hint="eastAsia"/>
        </w:rPr>
        <w:t>联合体，共同参加</w:t>
      </w:r>
      <w:r>
        <w:rPr>
          <w:rFonts w:hint="eastAsia"/>
          <w:u w:val="single"/>
        </w:rPr>
        <w:t xml:space="preserve">（采购人名称）                 </w:t>
      </w:r>
      <w:r>
        <w:rPr>
          <w:rFonts w:hint="eastAsia"/>
        </w:rPr>
        <w:t xml:space="preserve"> （以下简称采购人）</w:t>
      </w:r>
      <w:r>
        <w:rPr>
          <w:rFonts w:hint="eastAsia"/>
          <w:u w:val="single"/>
        </w:rPr>
        <w:t xml:space="preserve">（项目名称）   </w:t>
      </w:r>
      <w:r>
        <w:rPr>
          <w:rFonts w:hint="eastAsia"/>
        </w:rPr>
        <w:t>（以下简称本项目）的</w:t>
      </w:r>
      <w:r>
        <w:rPr>
          <w:rFonts w:hint="eastAsia"/>
          <w:lang w:val="en-US" w:eastAsia="zh-CN"/>
        </w:rPr>
        <w:t>竞</w:t>
      </w:r>
      <w:r>
        <w:rPr>
          <w:rFonts w:hint="eastAsia"/>
        </w:rPr>
        <w:t>标。现就联合体</w:t>
      </w:r>
      <w:r>
        <w:rPr>
          <w:rFonts w:hint="eastAsia"/>
          <w:lang w:val="en-US" w:eastAsia="zh-CN"/>
        </w:rPr>
        <w:t>竞</w:t>
      </w:r>
      <w:r>
        <w:rPr>
          <w:rFonts w:hint="eastAsia"/>
        </w:rPr>
        <w:t>标事宜订立如下协议：</w:t>
      </w:r>
    </w:p>
    <w:p>
      <w:pPr>
        <w:pStyle w:val="2"/>
        <w:numPr>
          <w:ilvl w:val="0"/>
          <w:numId w:val="6"/>
        </w:numPr>
        <w:spacing w:line="400" w:lineRule="exact"/>
        <w:ind w:firstLine="367" w:firstLineChars="175"/>
      </w:pPr>
      <w:r>
        <w:rPr>
          <w:rFonts w:hint="eastAsia"/>
          <w:u w:val="single"/>
        </w:rPr>
        <w:t xml:space="preserve">（某成员单位名称）             </w:t>
      </w:r>
      <w:r>
        <w:rPr>
          <w:rFonts w:hint="eastAsia"/>
        </w:rPr>
        <w:t>为</w:t>
      </w:r>
      <w:r>
        <w:rPr>
          <w:rFonts w:hint="eastAsia"/>
          <w:u w:val="single"/>
        </w:rPr>
        <w:t>（联合体名称）</w:t>
      </w:r>
      <w:r>
        <w:rPr>
          <w:rFonts w:hint="eastAsia"/>
          <w:u w:val="single"/>
          <w:lang w:val="en-US" w:eastAsia="zh-CN"/>
        </w:rPr>
        <w:t xml:space="preserve">    </w:t>
      </w:r>
      <w:r>
        <w:rPr>
          <w:rFonts w:hint="eastAsia"/>
        </w:rPr>
        <w:t>牵头人。</w:t>
      </w:r>
    </w:p>
    <w:p>
      <w:pPr>
        <w:pStyle w:val="2"/>
        <w:numPr>
          <w:ilvl w:val="0"/>
          <w:numId w:val="6"/>
        </w:numPr>
        <w:spacing w:line="400" w:lineRule="exact"/>
        <w:ind w:firstLine="367" w:firstLineChars="175"/>
      </w:pPr>
      <w:r>
        <w:rPr>
          <w:rFonts w:hint="eastAsia"/>
        </w:rPr>
        <w:t>在本项目</w:t>
      </w:r>
      <w:r>
        <w:rPr>
          <w:rFonts w:hint="eastAsia"/>
          <w:lang w:val="en-US" w:eastAsia="zh-CN"/>
        </w:rPr>
        <w:t>竞</w:t>
      </w:r>
      <w:r>
        <w:rPr>
          <w:rFonts w:hint="eastAsia"/>
        </w:rPr>
        <w:t>标阶段，联合体牵头人合法代表联合体各成员负责本项目响应文件编制活动，代表联合体提交和接收相关的资料、信息及指示，并处理与</w:t>
      </w:r>
      <w:r>
        <w:rPr>
          <w:rFonts w:hint="eastAsia"/>
          <w:lang w:val="en-US" w:eastAsia="zh-CN"/>
        </w:rPr>
        <w:t>竞</w:t>
      </w:r>
      <w:r>
        <w:rPr>
          <w:rFonts w:hint="eastAsia"/>
        </w:rPr>
        <w:t>标和</w:t>
      </w:r>
      <w:r>
        <w:rPr>
          <w:rFonts w:hint="eastAsia"/>
          <w:lang w:val="en-US" w:eastAsia="zh-CN"/>
        </w:rPr>
        <w:t>成交</w:t>
      </w:r>
      <w:r>
        <w:rPr>
          <w:rFonts w:hint="eastAsia"/>
        </w:rPr>
        <w:t>有关的一切事务；联合体</w:t>
      </w:r>
      <w:r>
        <w:rPr>
          <w:rFonts w:hint="eastAsia"/>
          <w:lang w:val="en-US" w:eastAsia="zh-CN"/>
        </w:rPr>
        <w:t>成交</w:t>
      </w:r>
      <w:r>
        <w:rPr>
          <w:rFonts w:hint="eastAsia"/>
        </w:rPr>
        <w:t>后，联合体牵头人负责合同订立和合同实施阶段的主办、组织和协调工作。</w:t>
      </w:r>
    </w:p>
    <w:p>
      <w:pPr>
        <w:pStyle w:val="2"/>
        <w:numPr>
          <w:ilvl w:val="0"/>
          <w:numId w:val="6"/>
        </w:numPr>
        <w:spacing w:line="400" w:lineRule="exact"/>
        <w:ind w:firstLine="367" w:firstLineChars="175"/>
      </w:pPr>
      <w:r>
        <w:rPr>
          <w:rFonts w:hint="eastAsia"/>
        </w:rPr>
        <w:t>联合体将严格按照采购文件的各项要求，递交响应文件，履行</w:t>
      </w:r>
      <w:r>
        <w:rPr>
          <w:rFonts w:hint="eastAsia"/>
          <w:lang w:val="en-US" w:eastAsia="zh-CN"/>
        </w:rPr>
        <w:t>竞</w:t>
      </w:r>
      <w:r>
        <w:rPr>
          <w:rFonts w:hint="eastAsia"/>
        </w:rPr>
        <w:t>标义务和</w:t>
      </w:r>
      <w:r>
        <w:rPr>
          <w:rFonts w:hint="eastAsia"/>
          <w:lang w:val="en-US" w:eastAsia="zh-CN"/>
        </w:rPr>
        <w:t>成交</w:t>
      </w:r>
      <w:r>
        <w:rPr>
          <w:rFonts w:hint="eastAsia"/>
        </w:rPr>
        <w:t>后的合同，共同承担合同规定的一切义务和责任，联合体各成员单位按照内部职责的部分，承担各自所负的责任和风险，并向采购人承担连带责任。</w:t>
      </w:r>
    </w:p>
    <w:p>
      <w:pPr>
        <w:pStyle w:val="2"/>
        <w:numPr>
          <w:ilvl w:val="0"/>
          <w:numId w:val="6"/>
        </w:numPr>
        <w:spacing w:line="400" w:lineRule="exact"/>
        <w:ind w:firstLine="367" w:firstLineChars="175"/>
      </w:pPr>
      <w:r>
        <w:rPr>
          <w:rFonts w:hint="eastAsia"/>
        </w:rPr>
        <w:t>联合体各成员单位内部的职责分工如下：</w:t>
      </w:r>
    </w:p>
    <w:p>
      <w:pPr>
        <w:pStyle w:val="2"/>
        <w:spacing w:line="400" w:lineRule="exact"/>
        <w:ind w:firstLine="369" w:firstLineChars="175"/>
      </w:pPr>
      <w:r>
        <w:rPr>
          <w:rFonts w:hint="eastAsia"/>
          <w:b/>
          <w:bCs/>
        </w:rPr>
        <w:t>牵头人（</w:t>
      </w:r>
      <w:r>
        <w:rPr>
          <w:rFonts w:hint="eastAsia"/>
          <w:b/>
          <w:bCs/>
          <w:u w:val="single"/>
        </w:rPr>
        <w:t>单位名称</w:t>
      </w:r>
      <w:r>
        <w:rPr>
          <w:rFonts w:hint="eastAsia"/>
          <w:b/>
          <w:bCs/>
        </w:rPr>
        <w:t>）职责分工：</w:t>
      </w:r>
      <w:r>
        <w:rPr>
          <w:rFonts w:hint="eastAsia"/>
          <w:u w:val="single"/>
        </w:rPr>
        <w:t xml:space="preserve">                       </w:t>
      </w:r>
      <w:r>
        <w:rPr>
          <w:rFonts w:hint="eastAsia"/>
        </w:rPr>
        <w:t xml:space="preserve"> ；</w:t>
      </w:r>
    </w:p>
    <w:p>
      <w:pPr>
        <w:pStyle w:val="2"/>
        <w:spacing w:line="400" w:lineRule="exact"/>
        <w:ind w:firstLine="369" w:firstLineChars="175"/>
      </w:pPr>
      <w:r>
        <w:rPr>
          <w:rFonts w:hint="eastAsia"/>
          <w:b/>
          <w:bCs/>
        </w:rPr>
        <w:t>成员二（</w:t>
      </w:r>
      <w:r>
        <w:rPr>
          <w:rFonts w:hint="eastAsia"/>
          <w:b/>
          <w:bCs/>
          <w:u w:val="single"/>
        </w:rPr>
        <w:t>单位名称</w:t>
      </w:r>
      <w:r>
        <w:rPr>
          <w:rFonts w:hint="eastAsia"/>
          <w:b/>
          <w:bCs/>
        </w:rPr>
        <w:t>）职责分工：</w:t>
      </w:r>
      <w:r>
        <w:rPr>
          <w:rFonts w:hint="eastAsia"/>
          <w:u w:val="single"/>
        </w:rPr>
        <w:t xml:space="preserve">                       </w:t>
      </w:r>
      <w:r>
        <w:rPr>
          <w:rFonts w:hint="eastAsia"/>
        </w:rPr>
        <w:t xml:space="preserve"> ；</w:t>
      </w:r>
    </w:p>
    <w:p>
      <w:pPr>
        <w:pStyle w:val="2"/>
        <w:spacing w:line="400" w:lineRule="exact"/>
        <w:ind w:firstLine="367" w:firstLineChars="175"/>
      </w:pPr>
      <w:r>
        <w:rPr>
          <w:rFonts w:hint="eastAsia"/>
        </w:rPr>
        <w:t>……</w:t>
      </w:r>
    </w:p>
    <w:p>
      <w:pPr>
        <w:pStyle w:val="2"/>
        <w:numPr>
          <w:ilvl w:val="0"/>
          <w:numId w:val="6"/>
        </w:numPr>
        <w:spacing w:line="400" w:lineRule="exact"/>
        <w:ind w:firstLine="367" w:firstLineChars="175"/>
      </w:pPr>
      <w:r>
        <w:rPr>
          <w:rFonts w:hint="eastAsia"/>
          <w:lang w:val="en-US" w:eastAsia="zh-CN"/>
        </w:rPr>
        <w:t>竞</w:t>
      </w:r>
      <w:r>
        <w:rPr>
          <w:rFonts w:hint="eastAsia"/>
        </w:rPr>
        <w:t>标工作和联合体在</w:t>
      </w:r>
      <w:r>
        <w:rPr>
          <w:rFonts w:hint="eastAsia"/>
          <w:lang w:val="en-US" w:eastAsia="zh-CN"/>
        </w:rPr>
        <w:t>成交</w:t>
      </w:r>
      <w:r>
        <w:rPr>
          <w:rFonts w:hint="eastAsia"/>
        </w:rPr>
        <w:t>后项目实施过程中的有关费用按各自承担的工作量分摊。</w:t>
      </w:r>
    </w:p>
    <w:p>
      <w:pPr>
        <w:pStyle w:val="2"/>
        <w:numPr>
          <w:ilvl w:val="0"/>
          <w:numId w:val="6"/>
        </w:numPr>
        <w:spacing w:line="400" w:lineRule="exact"/>
        <w:ind w:firstLine="367" w:firstLineChars="175"/>
      </w:pPr>
      <w:r>
        <w:rPr>
          <w:rFonts w:hint="eastAsia"/>
        </w:rPr>
        <w:t>联合体</w:t>
      </w:r>
      <w:r>
        <w:rPr>
          <w:rFonts w:hint="eastAsia"/>
          <w:lang w:val="en-US" w:eastAsia="zh-CN"/>
        </w:rPr>
        <w:t>成交</w:t>
      </w:r>
      <w:r>
        <w:rPr>
          <w:rFonts w:hint="eastAsia"/>
        </w:rPr>
        <w:t>后，本联合体协议是合同的附件，对联合体各成员单位有合同约束力。</w:t>
      </w:r>
    </w:p>
    <w:p>
      <w:pPr>
        <w:pStyle w:val="2"/>
        <w:numPr>
          <w:ilvl w:val="0"/>
          <w:numId w:val="6"/>
        </w:numPr>
        <w:spacing w:line="400" w:lineRule="exact"/>
        <w:ind w:firstLine="367" w:firstLineChars="175"/>
      </w:pPr>
      <w:r>
        <w:rPr>
          <w:rFonts w:hint="eastAsia"/>
        </w:rPr>
        <w:t>本协议书自签署之日起生效，联合体未</w:t>
      </w:r>
      <w:r>
        <w:rPr>
          <w:rFonts w:hint="eastAsia"/>
          <w:lang w:val="en-US" w:eastAsia="zh-CN"/>
        </w:rPr>
        <w:t>成交</w:t>
      </w:r>
      <w:r>
        <w:rPr>
          <w:rFonts w:hint="eastAsia"/>
        </w:rPr>
        <w:t>或者</w:t>
      </w:r>
      <w:r>
        <w:rPr>
          <w:rFonts w:hint="eastAsia"/>
          <w:lang w:val="en-US" w:eastAsia="zh-CN"/>
        </w:rPr>
        <w:t>成交</w:t>
      </w:r>
      <w:r>
        <w:rPr>
          <w:rFonts w:hint="eastAsia"/>
        </w:rPr>
        <w:t>时合同履行完毕后自动失效。</w:t>
      </w:r>
    </w:p>
    <w:p>
      <w:pPr>
        <w:pStyle w:val="2"/>
        <w:numPr>
          <w:ilvl w:val="0"/>
          <w:numId w:val="6"/>
        </w:numPr>
        <w:spacing w:line="400" w:lineRule="exact"/>
        <w:ind w:firstLine="367" w:firstLineChars="175"/>
      </w:pPr>
      <w:r>
        <w:rPr>
          <w:rFonts w:hint="eastAsia"/>
        </w:rPr>
        <w:t>本协议书一式</w:t>
      </w:r>
      <w:r>
        <w:rPr>
          <w:rFonts w:hint="eastAsia"/>
          <w:u w:val="single"/>
        </w:rPr>
        <w:t xml:space="preserve">         </w:t>
      </w:r>
      <w:r>
        <w:rPr>
          <w:rFonts w:hint="eastAsia"/>
        </w:rPr>
        <w:t>份，联合体成员和采购人各执一份。</w:t>
      </w:r>
    </w:p>
    <w:p>
      <w:pPr>
        <w:pStyle w:val="2"/>
        <w:spacing w:line="400" w:lineRule="exact"/>
        <w:ind w:firstLine="420" w:firstLineChars="200"/>
      </w:pPr>
      <w:r>
        <w:rPr>
          <w:rFonts w:hint="eastAsia"/>
        </w:rPr>
        <w:t>牵头人名称：（盖单位章）</w:t>
      </w:r>
    </w:p>
    <w:p>
      <w:pPr>
        <w:pStyle w:val="2"/>
        <w:spacing w:line="400" w:lineRule="exact"/>
        <w:ind w:firstLine="367" w:firstLineChars="175"/>
      </w:pPr>
      <w:r>
        <w:rPr>
          <w:rFonts w:hint="eastAsia"/>
        </w:rPr>
        <w:t>法定代表人（负责人</w:t>
      </w:r>
      <w:r>
        <w:rPr>
          <w:rFonts w:hint="eastAsia"/>
          <w:lang w:val="en-US" w:eastAsia="zh-CN"/>
        </w:rPr>
        <w:t>/</w:t>
      </w:r>
      <w:r>
        <w:rPr>
          <w:rFonts w:hint="eastAsia"/>
        </w:rPr>
        <w:t>自然人）或其委托代理人：（签字）</w:t>
      </w:r>
    </w:p>
    <w:p>
      <w:pPr>
        <w:pStyle w:val="2"/>
        <w:spacing w:line="400" w:lineRule="exact"/>
        <w:ind w:firstLine="1207" w:firstLineChars="575"/>
      </w:pPr>
      <w:r>
        <w:rPr>
          <w:rFonts w:hint="eastAsia"/>
        </w:rPr>
        <w:t xml:space="preserve">年  </w:t>
      </w:r>
      <w:r>
        <w:t xml:space="preserve"> </w:t>
      </w:r>
      <w:r>
        <w:rPr>
          <w:rFonts w:hint="eastAsia"/>
        </w:rPr>
        <w:tab/>
      </w:r>
      <w:r>
        <w:rPr>
          <w:rFonts w:hint="eastAsia"/>
        </w:rPr>
        <w:t>月</w:t>
      </w:r>
      <w:r>
        <w:rPr>
          <w:rFonts w:hint="eastAsia"/>
        </w:rPr>
        <w:tab/>
      </w:r>
      <w:r>
        <w:t xml:space="preserve">  </w:t>
      </w:r>
      <w:r>
        <w:rPr>
          <w:rFonts w:hint="eastAsia"/>
        </w:rPr>
        <w:t>日</w:t>
      </w:r>
    </w:p>
    <w:p>
      <w:pPr>
        <w:pStyle w:val="2"/>
        <w:spacing w:line="400" w:lineRule="exact"/>
        <w:ind w:firstLine="367" w:firstLineChars="175"/>
      </w:pPr>
      <w:r>
        <w:rPr>
          <w:rFonts w:hint="eastAsia"/>
        </w:rPr>
        <w:t>成员二名称：（盖单位章）</w:t>
      </w:r>
    </w:p>
    <w:p>
      <w:pPr>
        <w:pStyle w:val="2"/>
        <w:spacing w:line="400" w:lineRule="exact"/>
        <w:ind w:firstLine="367" w:firstLineChars="175"/>
      </w:pPr>
      <w:r>
        <w:rPr>
          <w:rFonts w:hint="eastAsia"/>
        </w:rPr>
        <w:t>法定代表人（负责人</w:t>
      </w:r>
      <w:r>
        <w:rPr>
          <w:rFonts w:hint="eastAsia"/>
          <w:lang w:val="en-US" w:eastAsia="zh-CN"/>
        </w:rPr>
        <w:t>/</w:t>
      </w:r>
      <w:r>
        <w:rPr>
          <w:rFonts w:hint="eastAsia"/>
        </w:rPr>
        <w:t>自然人）或其委托代理人：（签字）</w:t>
      </w:r>
    </w:p>
    <w:p>
      <w:pPr>
        <w:pStyle w:val="2"/>
        <w:spacing w:line="400" w:lineRule="exact"/>
        <w:ind w:firstLine="1207" w:firstLineChars="575"/>
      </w:pPr>
      <w:r>
        <w:rPr>
          <w:rFonts w:hint="eastAsia"/>
        </w:rPr>
        <w:t xml:space="preserve">年 </w:t>
      </w:r>
      <w:r>
        <w:t xml:space="preserve">  </w:t>
      </w:r>
      <w:r>
        <w:rPr>
          <w:rFonts w:hint="eastAsia"/>
        </w:rPr>
        <w:tab/>
      </w:r>
      <w:r>
        <w:t xml:space="preserve"> </w:t>
      </w:r>
      <w:r>
        <w:rPr>
          <w:rFonts w:hint="eastAsia"/>
        </w:rPr>
        <w:t xml:space="preserve">月 </w:t>
      </w:r>
      <w:r>
        <w:t xml:space="preserve">   </w:t>
      </w:r>
      <w:r>
        <w:rPr>
          <w:rFonts w:hint="eastAsia"/>
        </w:rPr>
        <w:t>日</w:t>
      </w:r>
    </w:p>
    <w:p>
      <w:pPr>
        <w:pStyle w:val="2"/>
        <w:spacing w:line="400" w:lineRule="exact"/>
        <w:ind w:firstLine="367" w:firstLineChars="175"/>
      </w:pPr>
      <w:r>
        <w:rPr>
          <w:rFonts w:hint="eastAsia"/>
        </w:rPr>
        <w:t>【备注：本协议书由委托代理人签字的，应附法定代表人（负责人</w:t>
      </w:r>
      <w:r>
        <w:rPr>
          <w:rFonts w:hint="eastAsia"/>
          <w:lang w:val="en-US" w:eastAsia="zh-CN"/>
        </w:rPr>
        <w:t>/</w:t>
      </w:r>
      <w:r>
        <w:rPr>
          <w:rFonts w:hint="eastAsia"/>
        </w:rPr>
        <w:t>自然人）签字的授权委托书】</w:t>
      </w:r>
    </w:p>
    <w:p/>
    <w:p/>
    <w:p>
      <w:pPr>
        <w:jc w:val="center"/>
        <w:outlineLvl w:val="1"/>
      </w:pPr>
      <w:r>
        <w:br w:type="page"/>
      </w:r>
      <w:bookmarkStart w:id="196" w:name="_Toc26656"/>
      <w:bookmarkStart w:id="197" w:name="_Toc9058"/>
      <w:r>
        <w:rPr>
          <w:rFonts w:hint="eastAsia"/>
          <w:b/>
          <w:bCs/>
          <w:sz w:val="32"/>
          <w:szCs w:val="40"/>
        </w:rPr>
        <w:t>第二节  商务报价文件格式</w:t>
      </w:r>
      <w:bookmarkEnd w:id="196"/>
      <w:bookmarkEnd w:id="197"/>
    </w:p>
    <w:p/>
    <w:p>
      <w:pPr>
        <w:snapToGrid w:val="0"/>
        <w:spacing w:before="120" w:beforeLines="50" w:after="50" w:line="360" w:lineRule="auto"/>
        <w:jc w:val="center"/>
        <w:rPr>
          <w:rFonts w:ascii="宋体" w:hAnsi="宋体" w:cs="宋体"/>
          <w:bCs/>
          <w:szCs w:val="21"/>
        </w:rPr>
      </w:pPr>
      <w:r>
        <w:rPr>
          <w:rFonts w:hint="eastAsia" w:ascii="宋体" w:hAnsi="宋体" w:cs="宋体"/>
          <w:bCs/>
          <w:szCs w:val="21"/>
        </w:rPr>
        <w:t>全流程电子文件</w:t>
      </w:r>
    </w:p>
    <w:p>
      <w:pPr>
        <w:snapToGrid w:val="0"/>
        <w:spacing w:before="120" w:beforeLines="50" w:after="50" w:line="360" w:lineRule="auto"/>
        <w:rPr>
          <w:rFonts w:ascii="宋体" w:hAnsi="宋体" w:cs="宋体"/>
          <w:szCs w:val="21"/>
        </w:rPr>
      </w:pPr>
    </w:p>
    <w:p>
      <w:pPr>
        <w:snapToGrid w:val="0"/>
        <w:spacing w:before="120" w:beforeLines="50" w:after="50" w:line="360" w:lineRule="auto"/>
        <w:rPr>
          <w:rFonts w:ascii="宋体" w:hAnsi="宋体" w:cs="宋体"/>
          <w:szCs w:val="21"/>
        </w:rPr>
      </w:pPr>
    </w:p>
    <w:p>
      <w:pPr>
        <w:snapToGrid w:val="0"/>
        <w:spacing w:before="120" w:beforeLines="50" w:after="50" w:line="360" w:lineRule="auto"/>
        <w:rPr>
          <w:rFonts w:ascii="宋体" w:hAnsi="宋体" w:cs="宋体"/>
          <w:szCs w:val="21"/>
        </w:rPr>
      </w:pPr>
    </w:p>
    <w:p>
      <w:pPr>
        <w:snapToGrid w:val="0"/>
        <w:spacing w:before="120" w:beforeLines="50" w:after="50" w:line="360" w:lineRule="auto"/>
        <w:jc w:val="center"/>
        <w:rPr>
          <w:rFonts w:ascii="宋体" w:hAnsi="宋体" w:cs="宋体"/>
          <w:b/>
          <w:sz w:val="36"/>
          <w:szCs w:val="36"/>
        </w:rPr>
      </w:pPr>
      <w:r>
        <w:rPr>
          <w:rFonts w:hint="eastAsia" w:ascii="宋体" w:hAnsi="宋体" w:cs="宋体"/>
          <w:b/>
          <w:sz w:val="36"/>
          <w:szCs w:val="36"/>
        </w:rPr>
        <w:t>商</w:t>
      </w:r>
      <w:r>
        <w:rPr>
          <w:rFonts w:hint="eastAsia" w:ascii="宋体" w:hAnsi="宋体" w:cs="宋体"/>
          <w:b/>
          <w:sz w:val="36"/>
          <w:szCs w:val="36"/>
          <w:lang w:val="en-US" w:eastAsia="zh-CN"/>
        </w:rPr>
        <w:t xml:space="preserve">  </w:t>
      </w:r>
      <w:r>
        <w:rPr>
          <w:rFonts w:hint="eastAsia" w:ascii="宋体" w:hAnsi="宋体" w:cs="宋体"/>
          <w:b/>
          <w:sz w:val="36"/>
          <w:szCs w:val="36"/>
        </w:rPr>
        <w:t>务</w:t>
      </w:r>
      <w:r>
        <w:rPr>
          <w:rFonts w:hint="eastAsia" w:ascii="宋体" w:hAnsi="宋体" w:cs="宋体"/>
          <w:b/>
          <w:sz w:val="36"/>
          <w:szCs w:val="36"/>
          <w:lang w:val="en-US" w:eastAsia="zh-CN"/>
        </w:rPr>
        <w:t xml:space="preserve">  </w:t>
      </w:r>
      <w:r>
        <w:rPr>
          <w:rFonts w:hint="eastAsia" w:ascii="宋体" w:hAnsi="宋体" w:cs="宋体"/>
          <w:b/>
          <w:sz w:val="36"/>
          <w:szCs w:val="36"/>
        </w:rPr>
        <w:t>报  价  文  件（封面）</w:t>
      </w: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 w:val="28"/>
          <w:szCs w:val="28"/>
        </w:rPr>
      </w:pP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项目名称：</w:t>
      </w: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项目编号：</w:t>
      </w:r>
    </w:p>
    <w:p>
      <w:pPr>
        <w:snapToGrid w:val="0"/>
        <w:spacing w:before="120" w:beforeLines="50" w:after="50" w:line="480" w:lineRule="auto"/>
        <w:ind w:firstLine="420" w:firstLineChars="150"/>
        <w:rPr>
          <w:rFonts w:hint="eastAsia" w:ascii="宋体" w:hAnsi="宋体" w:cs="宋体"/>
          <w:bCs/>
          <w:sz w:val="28"/>
          <w:szCs w:val="28"/>
          <w:lang w:eastAsia="zh-CN"/>
        </w:rPr>
      </w:pPr>
      <w:r>
        <w:rPr>
          <w:rFonts w:hint="eastAsia" w:ascii="宋体" w:hAnsi="宋体" w:cs="宋体"/>
          <w:bCs/>
          <w:sz w:val="28"/>
          <w:szCs w:val="28"/>
        </w:rPr>
        <w:t>所竞分标</w:t>
      </w:r>
      <w:r>
        <w:rPr>
          <w:rFonts w:hint="eastAsia" w:ascii="宋体" w:hAnsi="宋体" w:cs="宋体"/>
          <w:bCs/>
          <w:sz w:val="28"/>
          <w:szCs w:val="28"/>
          <w:lang w:eastAsia="zh-CN"/>
        </w:rPr>
        <w:t>：</w:t>
      </w: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（如有则填写，无分标时填写“无”或者留空）：</w:t>
      </w:r>
    </w:p>
    <w:p>
      <w:pPr>
        <w:pStyle w:val="8"/>
        <w:snapToGrid w:val="0"/>
        <w:spacing w:before="50" w:after="50" w:line="480" w:lineRule="auto"/>
        <w:ind w:firstLineChars="150"/>
        <w:rPr>
          <w:rFonts w:ascii="宋体" w:hAnsi="宋体" w:cs="宋体"/>
          <w:bCs/>
          <w:sz w:val="28"/>
          <w:szCs w:val="28"/>
        </w:rPr>
      </w:pPr>
      <w:r>
        <w:rPr>
          <w:rFonts w:hint="eastAsia" w:ascii="宋体" w:hAnsi="宋体" w:cs="宋体"/>
          <w:bCs/>
          <w:sz w:val="28"/>
          <w:szCs w:val="28"/>
        </w:rPr>
        <w:t>供应商名称：</w:t>
      </w:r>
      <w:r>
        <w:rPr>
          <w:rFonts w:hint="eastAsia" w:ascii="宋体" w:hAnsi="宋体" w:cs="宋体"/>
          <w:bCs/>
          <w:sz w:val="28"/>
          <w:szCs w:val="28"/>
          <w:u w:val="single"/>
        </w:rPr>
        <w:t>（联合体</w:t>
      </w:r>
      <w:r>
        <w:rPr>
          <w:rFonts w:hint="eastAsia" w:ascii="宋体" w:hAnsi="宋体" w:cs="宋体"/>
          <w:bCs/>
          <w:sz w:val="28"/>
          <w:szCs w:val="28"/>
          <w:u w:val="single"/>
          <w:lang w:val="en-US" w:eastAsia="zh-CN"/>
        </w:rPr>
        <w:t>竞</w:t>
      </w:r>
      <w:r>
        <w:rPr>
          <w:rFonts w:hint="eastAsia" w:ascii="宋体" w:hAnsi="宋体" w:cs="宋体"/>
          <w:bCs/>
          <w:sz w:val="28"/>
          <w:szCs w:val="28"/>
          <w:u w:val="single"/>
        </w:rPr>
        <w:t>标的为联合体各成员名称并加盖牵头方CA电子签章）</w:t>
      </w:r>
    </w:p>
    <w:p>
      <w:pPr>
        <w:pStyle w:val="8"/>
        <w:snapToGrid w:val="0"/>
        <w:spacing w:before="50" w:after="50" w:line="360" w:lineRule="auto"/>
        <w:ind w:firstLine="630" w:firstLineChars="225"/>
        <w:rPr>
          <w:rFonts w:ascii="宋体" w:hAnsi="宋体" w:cs="宋体"/>
          <w:bCs/>
          <w:sz w:val="28"/>
          <w:szCs w:val="28"/>
        </w:rPr>
      </w:pPr>
    </w:p>
    <w:p>
      <w:pPr>
        <w:pStyle w:val="8"/>
        <w:snapToGrid w:val="0"/>
        <w:spacing w:before="50" w:after="50" w:line="360" w:lineRule="auto"/>
        <w:ind w:firstLine="630" w:firstLineChars="225"/>
        <w:rPr>
          <w:rFonts w:ascii="宋体" w:hAnsi="宋体" w:cs="宋体"/>
          <w:bCs/>
          <w:sz w:val="28"/>
          <w:szCs w:val="28"/>
        </w:rPr>
      </w:pPr>
    </w:p>
    <w:p>
      <w:pPr>
        <w:pStyle w:val="8"/>
        <w:snapToGrid w:val="0"/>
        <w:spacing w:before="50" w:after="50" w:line="360" w:lineRule="auto"/>
        <w:ind w:firstLine="1120" w:firstLineChars="400"/>
        <w:rPr>
          <w:rFonts w:ascii="宋体" w:hAnsi="宋体" w:cs="宋体"/>
          <w:bCs/>
          <w:sz w:val="28"/>
          <w:szCs w:val="28"/>
        </w:rPr>
      </w:pPr>
    </w:p>
    <w:p>
      <w:pPr>
        <w:snapToGrid w:val="0"/>
        <w:spacing w:before="120" w:beforeLines="50" w:after="50" w:line="360" w:lineRule="auto"/>
        <w:jc w:val="center"/>
        <w:rPr>
          <w:rFonts w:ascii="宋体" w:hAnsi="宋体" w:cs="宋体"/>
          <w:sz w:val="28"/>
          <w:szCs w:val="28"/>
        </w:rPr>
      </w:pPr>
      <w:r>
        <w:rPr>
          <w:rFonts w:hint="eastAsia" w:ascii="宋体" w:hAnsi="宋体" w:cs="宋体"/>
          <w:sz w:val="28"/>
          <w:szCs w:val="28"/>
        </w:rPr>
        <w:t>年    月    日</w:t>
      </w:r>
    </w:p>
    <w:p>
      <w:pPr>
        <w:snapToGrid w:val="0"/>
        <w:spacing w:before="120" w:beforeLines="50" w:after="50" w:line="360" w:lineRule="auto"/>
        <w:jc w:val="center"/>
        <w:rPr>
          <w:rFonts w:ascii="宋体" w:hAnsi="宋体" w:cs="宋体"/>
          <w:b/>
          <w:bCs/>
          <w:szCs w:val="21"/>
        </w:rPr>
      </w:pPr>
      <w:r>
        <w:rPr>
          <w:rFonts w:hint="eastAsia" w:ascii="宋体" w:hAnsi="宋体" w:cs="宋体"/>
          <w:szCs w:val="21"/>
        </w:rPr>
        <w:br w:type="page"/>
      </w:r>
      <w:r>
        <w:rPr>
          <w:rFonts w:hint="eastAsia" w:ascii="宋体" w:hAnsi="宋体" w:cs="宋体"/>
          <w:b/>
          <w:bCs/>
          <w:sz w:val="28"/>
          <w:szCs w:val="28"/>
        </w:rPr>
        <w:t>商务报价文件目录</w:t>
      </w:r>
    </w:p>
    <w:p>
      <w:pPr>
        <w:pStyle w:val="21"/>
        <w:tabs>
          <w:tab w:val="right" w:leader="dot" w:pos="9750"/>
          <w:tab w:val="clear" w:pos="9476"/>
        </w:tabs>
        <w:ind w:left="0" w:leftChars="0"/>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p>
    <w:p>
      <w:pPr>
        <w:spacing w:line="360" w:lineRule="auto"/>
        <w:rPr>
          <w:rFonts w:hint="eastAsia" w:ascii="宋体" w:hAnsi="宋体" w:cs="宋体"/>
          <w:szCs w:val="21"/>
        </w:rPr>
      </w:pPr>
      <w:r>
        <w:rPr>
          <w:rFonts w:hint="eastAsia" w:ascii="宋体" w:hAnsi="宋体" w:cs="宋体"/>
          <w:szCs w:val="21"/>
        </w:rPr>
        <w:t>（1）磋商函；</w:t>
      </w:r>
    </w:p>
    <w:p>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响应</w:t>
      </w:r>
      <w:r>
        <w:rPr>
          <w:rFonts w:hint="eastAsia" w:ascii="宋体" w:hAnsi="宋体" w:cs="宋体"/>
          <w:szCs w:val="21"/>
        </w:rPr>
        <w:t>报价表；</w:t>
      </w:r>
    </w:p>
    <w:p>
      <w:pPr>
        <w:spacing w:line="360" w:lineRule="auto"/>
        <w:rPr>
          <w:rFonts w:hint="eastAsia" w:ascii="宋体" w:hAnsi="宋体" w:cs="宋体"/>
          <w:szCs w:val="21"/>
        </w:rPr>
      </w:pPr>
      <w:r>
        <w:rPr>
          <w:rFonts w:hint="eastAsia" w:ascii="宋体" w:hAnsi="宋体" w:cs="宋体"/>
          <w:szCs w:val="21"/>
        </w:rPr>
        <w:t>（3）无串通竞标行为的承诺函；</w:t>
      </w:r>
    </w:p>
    <w:p>
      <w:pPr>
        <w:spacing w:line="360" w:lineRule="auto"/>
        <w:rPr>
          <w:rFonts w:hint="eastAsia" w:ascii="宋体" w:hAnsi="宋体" w:cs="宋体"/>
          <w:szCs w:val="21"/>
        </w:rPr>
      </w:pPr>
      <w:r>
        <w:rPr>
          <w:rFonts w:hint="eastAsia" w:ascii="宋体" w:hAnsi="宋体" w:cs="宋体"/>
          <w:szCs w:val="21"/>
        </w:rPr>
        <w:t>（4）法定代表人身份证明及法定代表人有效身份证正反面复印件（除自然人</w:t>
      </w:r>
      <w:r>
        <w:rPr>
          <w:rFonts w:hint="eastAsia" w:ascii="宋体" w:hAnsi="宋体" w:cs="宋体"/>
          <w:szCs w:val="21"/>
          <w:lang w:val="en-US" w:eastAsia="zh-CN"/>
        </w:rPr>
        <w:t>竞</w:t>
      </w:r>
      <w:r>
        <w:rPr>
          <w:rFonts w:hint="eastAsia" w:ascii="宋体" w:hAnsi="宋体" w:cs="宋体"/>
          <w:szCs w:val="21"/>
        </w:rPr>
        <w:t>标外必须提供，联合体</w:t>
      </w:r>
      <w:r>
        <w:rPr>
          <w:rFonts w:hint="eastAsia" w:ascii="宋体" w:hAnsi="宋体" w:cs="宋体"/>
          <w:szCs w:val="21"/>
          <w:lang w:val="en-US" w:eastAsia="zh-CN"/>
        </w:rPr>
        <w:t>竞</w:t>
      </w:r>
      <w:r>
        <w:rPr>
          <w:rFonts w:hint="eastAsia" w:ascii="宋体" w:hAnsi="宋体" w:cs="宋体"/>
          <w:szCs w:val="21"/>
        </w:rPr>
        <w:t>标时，联合体牵头人提供，否则作</w:t>
      </w:r>
      <w:r>
        <w:rPr>
          <w:rFonts w:hint="eastAsia" w:ascii="宋体" w:hAnsi="宋体" w:cs="宋体"/>
          <w:szCs w:val="21"/>
          <w:lang w:eastAsia="zh-CN"/>
        </w:rPr>
        <w:t>无效响应</w:t>
      </w:r>
      <w:r>
        <w:rPr>
          <w:rFonts w:hint="eastAsia" w:ascii="宋体" w:hAnsi="宋体" w:cs="宋体"/>
          <w:szCs w:val="21"/>
        </w:rPr>
        <w:t>处理）；</w:t>
      </w:r>
    </w:p>
    <w:p>
      <w:pPr>
        <w:spacing w:line="360" w:lineRule="auto"/>
        <w:rPr>
          <w:rFonts w:hint="eastAsia" w:ascii="宋体" w:hAnsi="宋体" w:cs="宋体"/>
          <w:szCs w:val="21"/>
        </w:rPr>
      </w:pPr>
      <w:r>
        <w:rPr>
          <w:rFonts w:hint="eastAsia" w:ascii="宋体" w:hAnsi="宋体" w:cs="宋体"/>
          <w:szCs w:val="21"/>
        </w:rPr>
        <w:t>（5）法定代表人授权委托书（委托时必须提供，联合体</w:t>
      </w:r>
      <w:r>
        <w:rPr>
          <w:rFonts w:hint="eastAsia" w:ascii="宋体" w:hAnsi="宋体" w:cs="宋体"/>
          <w:szCs w:val="21"/>
          <w:lang w:val="en-US" w:eastAsia="zh-CN"/>
        </w:rPr>
        <w:t>竞</w:t>
      </w:r>
      <w:r>
        <w:rPr>
          <w:rFonts w:hint="eastAsia" w:ascii="宋体" w:hAnsi="宋体" w:cs="宋体"/>
          <w:szCs w:val="21"/>
        </w:rPr>
        <w:t>标时，联合体牵头人提供，否则作</w:t>
      </w:r>
      <w:r>
        <w:rPr>
          <w:rFonts w:hint="eastAsia" w:ascii="宋体" w:hAnsi="宋体" w:cs="宋体"/>
          <w:szCs w:val="21"/>
          <w:lang w:eastAsia="zh-CN"/>
        </w:rPr>
        <w:t>无效响应</w:t>
      </w:r>
      <w:r>
        <w:rPr>
          <w:rFonts w:hint="eastAsia" w:ascii="宋体" w:hAnsi="宋体" w:cs="宋体"/>
          <w:szCs w:val="21"/>
        </w:rPr>
        <w:t>处理）；</w:t>
      </w:r>
    </w:p>
    <w:p>
      <w:pPr>
        <w:spacing w:line="360" w:lineRule="auto"/>
        <w:rPr>
          <w:rFonts w:hint="eastAsia" w:ascii="宋体" w:hAnsi="宋体" w:cs="宋体"/>
          <w:szCs w:val="21"/>
        </w:rPr>
      </w:pPr>
      <w:r>
        <w:rPr>
          <w:rFonts w:hint="eastAsia" w:ascii="宋体" w:hAnsi="宋体" w:cs="宋体"/>
          <w:szCs w:val="21"/>
        </w:rPr>
        <w:t>（6）磋商保证金证明；</w:t>
      </w:r>
    </w:p>
    <w:p>
      <w:pPr>
        <w:spacing w:line="360" w:lineRule="auto"/>
        <w:rPr>
          <w:rFonts w:hint="eastAsia" w:ascii="宋体" w:hAnsi="宋体" w:cs="宋体"/>
          <w:szCs w:val="21"/>
        </w:rPr>
      </w:pPr>
      <w:r>
        <w:rPr>
          <w:rFonts w:hint="eastAsia" w:ascii="宋体" w:hAnsi="宋体" w:cs="宋体"/>
          <w:szCs w:val="21"/>
        </w:rPr>
        <w:t>（7）商务条款偏离表；</w:t>
      </w:r>
    </w:p>
    <w:p>
      <w:pPr>
        <w:spacing w:line="360" w:lineRule="auto"/>
        <w:rPr>
          <w:rFonts w:hint="eastAsia" w:ascii="宋体" w:hAnsi="宋体" w:cs="宋体"/>
          <w:szCs w:val="21"/>
        </w:rPr>
      </w:pPr>
      <w:r>
        <w:rPr>
          <w:rFonts w:hint="eastAsia" w:ascii="宋体" w:hAnsi="宋体" w:cs="宋体"/>
          <w:szCs w:val="21"/>
        </w:rPr>
        <w:t>（8）中小企业声明函、残疾人福利单位声明函；（如有）</w:t>
      </w:r>
    </w:p>
    <w:p>
      <w:pPr>
        <w:spacing w:line="360" w:lineRule="auto"/>
        <w:rPr>
          <w:rFonts w:hint="eastAsia" w:ascii="宋体" w:hAnsi="宋体" w:cs="宋体"/>
          <w:szCs w:val="21"/>
        </w:rPr>
      </w:pPr>
      <w:r>
        <w:rPr>
          <w:rFonts w:hint="eastAsia" w:ascii="宋体" w:hAnsi="宋体" w:cs="宋体"/>
          <w:szCs w:val="21"/>
        </w:rPr>
        <w:t>（9）供应商2020年1月1日以来具有同类项目的业绩的相关证明材料（以签订的合同复印件为准，并能清晰反映项目的名称、种类、金额）（如有）；</w:t>
      </w:r>
    </w:p>
    <w:p>
      <w:pPr>
        <w:spacing w:line="360" w:lineRule="auto"/>
        <w:rPr>
          <w:rFonts w:ascii="宋体" w:hAnsi="宋体" w:cs="宋体"/>
          <w:szCs w:val="21"/>
        </w:rPr>
      </w:pPr>
      <w:r>
        <w:rPr>
          <w:rFonts w:hint="eastAsia" w:ascii="宋体" w:hAnsi="宋体" w:cs="宋体"/>
          <w:szCs w:val="21"/>
        </w:rPr>
        <w:t>（10）</w:t>
      </w:r>
      <w:r>
        <w:rPr>
          <w:rFonts w:hint="eastAsia" w:ascii="宋体" w:hAnsi="宋体" w:cs="宋体"/>
          <w:color w:val="auto"/>
          <w:lang w:val="en-US" w:eastAsia="zh-CN"/>
        </w:rPr>
        <w:t>供应商</w:t>
      </w:r>
      <w:r>
        <w:rPr>
          <w:rFonts w:hint="eastAsia" w:ascii="宋体" w:hAnsi="宋体" w:cs="宋体"/>
          <w:szCs w:val="21"/>
        </w:rPr>
        <w:t>针对报价需要说明的其他文件和说明。（如有，格式自拟）</w:t>
      </w:r>
      <w:r>
        <w:rPr>
          <w:rFonts w:hint="eastAsia" w:ascii="宋体" w:hAnsi="宋体" w:cs="宋体"/>
          <w:szCs w:val="21"/>
        </w:rPr>
        <w:fldChar w:fldCharType="end"/>
      </w:r>
    </w:p>
    <w:p>
      <w:pPr>
        <w:spacing w:line="360" w:lineRule="auto"/>
        <w:rPr>
          <w:rFonts w:ascii="宋体" w:hAnsi="宋体" w:cs="宋体"/>
          <w:b/>
          <w:bCs/>
          <w:szCs w:val="21"/>
        </w:rPr>
      </w:pPr>
      <w:r>
        <w:rPr>
          <w:rFonts w:hint="eastAsia" w:ascii="宋体" w:hAnsi="宋体" w:cs="宋体"/>
          <w:b/>
          <w:bCs/>
          <w:szCs w:val="21"/>
        </w:rPr>
        <w:t>注：以上目录是编制供应商响应文件的基本格式要求，各供应商可根据自身情况进一步细化。</w:t>
      </w:r>
    </w:p>
    <w:p>
      <w:pPr>
        <w:pStyle w:val="20"/>
        <w:ind w:left="0" w:leftChars="0"/>
      </w:pPr>
    </w:p>
    <w:p>
      <w:pPr>
        <w:snapToGrid w:val="0"/>
        <w:spacing w:before="120" w:beforeLines="50" w:after="50" w:line="360" w:lineRule="auto"/>
        <w:jc w:val="left"/>
        <w:outlineLvl w:val="2"/>
        <w:rPr>
          <w:rFonts w:ascii="宋体" w:hAnsi="宋体" w:cs="宋体"/>
          <w:szCs w:val="21"/>
        </w:rPr>
      </w:pPr>
      <w:r>
        <w:rPr>
          <w:rFonts w:hint="eastAsia" w:ascii="宋体" w:hAnsi="宋体" w:cs="宋体"/>
          <w:szCs w:val="21"/>
        </w:rPr>
        <w:br w:type="page"/>
      </w:r>
      <w:bookmarkStart w:id="198" w:name="_Toc14716"/>
      <w:bookmarkStart w:id="199" w:name="_Toc2610"/>
      <w:bookmarkStart w:id="200" w:name="_Toc16857"/>
      <w:bookmarkStart w:id="201" w:name="_Toc32555"/>
      <w:bookmarkStart w:id="202" w:name="_Toc1977"/>
      <w:bookmarkStart w:id="203" w:name="_Toc28025"/>
      <w:bookmarkStart w:id="204" w:name="_Toc31290"/>
      <w:bookmarkStart w:id="205" w:name="_Toc24821"/>
      <w:bookmarkStart w:id="206" w:name="_Toc23710"/>
      <w:bookmarkStart w:id="207" w:name="_Toc3184"/>
      <w:r>
        <w:rPr>
          <w:rFonts w:hint="eastAsia" w:ascii="宋体" w:hAnsi="宋体" w:cs="宋体"/>
          <w:b/>
          <w:bCs/>
          <w:szCs w:val="21"/>
        </w:rPr>
        <w:t>一、磋商函</w:t>
      </w:r>
      <w:bookmarkEnd w:id="198"/>
      <w:bookmarkEnd w:id="199"/>
      <w:bookmarkEnd w:id="200"/>
      <w:bookmarkEnd w:id="201"/>
      <w:bookmarkEnd w:id="202"/>
      <w:bookmarkEnd w:id="203"/>
      <w:bookmarkEnd w:id="204"/>
      <w:bookmarkEnd w:id="205"/>
      <w:bookmarkEnd w:id="206"/>
      <w:bookmarkEnd w:id="207"/>
    </w:p>
    <w:p>
      <w:pPr>
        <w:pStyle w:val="15"/>
        <w:spacing w:line="360" w:lineRule="auto"/>
        <w:jc w:val="center"/>
        <w:rPr>
          <w:rFonts w:hAnsi="宋体" w:cs="宋体"/>
          <w:b/>
          <w:bCs/>
          <w:sz w:val="28"/>
          <w:szCs w:val="28"/>
        </w:rPr>
      </w:pPr>
      <w:r>
        <w:rPr>
          <w:rFonts w:hint="eastAsia" w:hAnsi="宋体" w:cs="宋体"/>
          <w:b/>
          <w:bCs/>
          <w:sz w:val="28"/>
          <w:szCs w:val="28"/>
        </w:rPr>
        <w:t>磋商函</w:t>
      </w:r>
    </w:p>
    <w:p>
      <w:pPr>
        <w:pStyle w:val="15"/>
        <w:spacing w:line="360" w:lineRule="auto"/>
        <w:rPr>
          <w:rFonts w:hAnsi="宋体" w:cs="宋体"/>
          <w:szCs w:val="21"/>
        </w:rPr>
      </w:pPr>
      <w:r>
        <w:rPr>
          <w:rFonts w:hint="eastAsia" w:hAnsi="宋体" w:cs="宋体"/>
          <w:szCs w:val="21"/>
        </w:rPr>
        <w:t>致：</w:t>
      </w:r>
      <w:r>
        <w:rPr>
          <w:rFonts w:hint="eastAsia" w:hAnsi="宋体" w:cs="宋体"/>
          <w:szCs w:val="21"/>
          <w:u w:val="single"/>
        </w:rPr>
        <w:t xml:space="preserve"> </w:t>
      </w:r>
      <w:r>
        <w:rPr>
          <w:rFonts w:hint="eastAsia" w:hAnsi="宋体" w:cs="宋体"/>
          <w:szCs w:val="21"/>
          <w:u w:val="single"/>
          <w:lang w:eastAsia="zh-CN"/>
        </w:rPr>
        <w:t>（采购人名称）、（代理机构名称）</w:t>
      </w:r>
      <w:r>
        <w:rPr>
          <w:rFonts w:hint="eastAsia" w:hAnsi="宋体" w:cs="宋体"/>
          <w:szCs w:val="21"/>
          <w:u w:val="single"/>
          <w:lang w:val="en-US" w:eastAsia="zh-CN"/>
        </w:rPr>
        <w:t xml:space="preserve">   </w:t>
      </w:r>
      <w:r>
        <w:rPr>
          <w:rFonts w:hint="eastAsia" w:hAnsi="宋体" w:cs="宋体"/>
          <w:szCs w:val="21"/>
          <w:u w:val="single"/>
        </w:rPr>
        <w:t xml:space="preserve"> </w:t>
      </w:r>
    </w:p>
    <w:p>
      <w:pPr>
        <w:pStyle w:val="15"/>
        <w:spacing w:line="360" w:lineRule="auto"/>
        <w:ind w:firstLine="400" w:firstLineChars="200"/>
        <w:rPr>
          <w:rFonts w:hAnsi="宋体" w:cs="宋体"/>
          <w:szCs w:val="21"/>
        </w:rPr>
      </w:pPr>
      <w:r>
        <w:rPr>
          <w:rFonts w:hint="eastAsia" w:hAnsi="宋体" w:cs="宋体"/>
          <w:szCs w:val="21"/>
        </w:rPr>
        <w:t>我方已仔细阅读了贵方组织的</w:t>
      </w:r>
      <w:r>
        <w:rPr>
          <w:rFonts w:hint="eastAsia" w:hAnsi="宋体" w:cs="宋体"/>
          <w:szCs w:val="21"/>
          <w:u w:val="single"/>
        </w:rPr>
        <w:t xml:space="preserve"> </w:t>
      </w:r>
      <w:r>
        <w:rPr>
          <w:rFonts w:hint="eastAsia" w:hAnsi="宋体" w:cs="宋体"/>
          <w:szCs w:val="21"/>
          <w:u w:val="single"/>
          <w:lang w:val="en-US" w:eastAsia="zh-CN"/>
        </w:rPr>
        <w:t xml:space="preserve">             </w:t>
      </w:r>
      <w:r>
        <w:rPr>
          <w:rFonts w:hint="eastAsia" w:hAnsi="宋体" w:cs="宋体"/>
          <w:szCs w:val="21"/>
          <w:u w:val="single"/>
        </w:rPr>
        <w:t>(项目名称)</w:t>
      </w:r>
      <w:r>
        <w:rPr>
          <w:rFonts w:hint="eastAsia" w:hAnsi="宋体" w:cs="宋体"/>
          <w:szCs w:val="21"/>
          <w:u w:val="single"/>
          <w:lang w:val="en-US" w:eastAsia="zh-CN"/>
        </w:rPr>
        <w:t xml:space="preserve">   </w:t>
      </w:r>
      <w:r>
        <w:rPr>
          <w:rFonts w:hint="eastAsia" w:hAnsi="宋体" w:cs="宋体"/>
          <w:szCs w:val="21"/>
          <w:u w:val="single"/>
        </w:rPr>
        <w:t xml:space="preserve">  </w:t>
      </w:r>
      <w:r>
        <w:rPr>
          <w:rFonts w:hint="eastAsia" w:hAnsi="宋体" w:cs="宋体"/>
          <w:szCs w:val="21"/>
        </w:rPr>
        <w:t>项目（项目编号：</w:t>
      </w:r>
      <w:r>
        <w:rPr>
          <w:rFonts w:hint="eastAsia" w:hAnsi="宋体" w:cs="宋体"/>
          <w:szCs w:val="21"/>
          <w:u w:val="single"/>
        </w:rPr>
        <w:t xml:space="preserve">                   </w:t>
      </w:r>
      <w:r>
        <w:rPr>
          <w:rFonts w:hint="eastAsia" w:hAnsi="宋体" w:cs="宋体"/>
          <w:szCs w:val="21"/>
        </w:rPr>
        <w:t xml:space="preserve">）的竞争性磋商采购文件的全部内容，现正式递交下述文件参加贵方组织的本次政府采购活动： </w:t>
      </w:r>
    </w:p>
    <w:p>
      <w:pPr>
        <w:pStyle w:val="15"/>
        <w:spacing w:line="360" w:lineRule="auto"/>
        <w:ind w:firstLine="400" w:firstLineChars="200"/>
        <w:rPr>
          <w:rFonts w:hAnsi="宋体" w:cs="宋体"/>
          <w:szCs w:val="21"/>
        </w:rPr>
      </w:pPr>
      <w:r>
        <w:rPr>
          <w:rFonts w:hint="eastAsia" w:hAnsi="宋体" w:cs="宋体"/>
          <w:szCs w:val="21"/>
        </w:rPr>
        <w:t>首次响应文件电子版</w:t>
      </w:r>
      <w:r>
        <w:rPr>
          <w:rFonts w:hint="eastAsia" w:hAnsi="宋体" w:cs="宋体"/>
          <w:szCs w:val="21"/>
          <w:u w:val="single"/>
        </w:rPr>
        <w:t xml:space="preserve"> 壹 </w:t>
      </w:r>
      <w:r>
        <w:rPr>
          <w:rFonts w:hint="eastAsia" w:hAnsi="宋体" w:cs="宋体"/>
          <w:szCs w:val="21"/>
        </w:rPr>
        <w:t>份（包含资格证明文件、商务报价文件、技术文件）；</w:t>
      </w:r>
    </w:p>
    <w:p>
      <w:pPr>
        <w:pStyle w:val="15"/>
        <w:spacing w:line="360" w:lineRule="auto"/>
        <w:ind w:firstLine="400" w:firstLineChars="200"/>
        <w:rPr>
          <w:rFonts w:hAnsi="宋体" w:cs="宋体"/>
          <w:szCs w:val="21"/>
        </w:rPr>
      </w:pPr>
      <w:r>
        <w:rPr>
          <w:rFonts w:hint="eastAsia" w:hAnsi="宋体" w:cs="宋体"/>
          <w:szCs w:val="21"/>
        </w:rPr>
        <w:t>据此函，签字人兹宣布：</w:t>
      </w:r>
    </w:p>
    <w:p>
      <w:pPr>
        <w:pStyle w:val="15"/>
        <w:numPr>
          <w:ilvl w:val="0"/>
          <w:numId w:val="7"/>
        </w:numPr>
        <w:spacing w:line="360" w:lineRule="auto"/>
        <w:rPr>
          <w:rFonts w:hAnsi="宋体" w:cs="宋体"/>
          <w:szCs w:val="21"/>
        </w:rPr>
      </w:pPr>
      <w:r>
        <w:rPr>
          <w:rFonts w:hint="eastAsia" w:hAnsi="宋体" w:cs="宋体"/>
          <w:szCs w:val="21"/>
        </w:rPr>
        <w:t>我方同意自本项目竞争性磋商采购文件采购公告规定的递交响应文件截止时间起遵循本磋商函，并承诺在“第二章 供应商须知”规定的响应有效期（60日历天）内不修改、撤销响应文件。</w:t>
      </w:r>
    </w:p>
    <w:p>
      <w:pPr>
        <w:pStyle w:val="15"/>
        <w:numPr>
          <w:ilvl w:val="0"/>
          <w:numId w:val="7"/>
        </w:numPr>
        <w:spacing w:line="360" w:lineRule="auto"/>
        <w:rPr>
          <w:rFonts w:hAnsi="宋体" w:cs="宋体"/>
          <w:szCs w:val="21"/>
        </w:rPr>
      </w:pPr>
      <w:r>
        <w:rPr>
          <w:rFonts w:hint="eastAsia" w:hAnsi="宋体" w:cs="宋体"/>
          <w:szCs w:val="21"/>
        </w:rPr>
        <w:t>我方在此声明，所递交的响应文件及有关资料内容完整、真实和准确。</w:t>
      </w:r>
    </w:p>
    <w:p>
      <w:pPr>
        <w:pStyle w:val="15"/>
        <w:numPr>
          <w:ilvl w:val="0"/>
          <w:numId w:val="7"/>
        </w:numPr>
        <w:spacing w:line="360" w:lineRule="auto"/>
        <w:rPr>
          <w:rFonts w:hAnsi="宋体" w:cs="宋体"/>
          <w:szCs w:val="21"/>
        </w:rPr>
      </w:pPr>
      <w:r>
        <w:rPr>
          <w:rFonts w:hint="eastAsia" w:hAnsi="宋体" w:cs="宋体"/>
          <w:szCs w:val="21"/>
        </w:rPr>
        <w:t>如本项目采购内容涉及须符合国家强制规定的，我方承诺我方本次竞标均符合国家有关强制规定。</w:t>
      </w:r>
    </w:p>
    <w:p>
      <w:pPr>
        <w:pStyle w:val="15"/>
        <w:numPr>
          <w:ilvl w:val="0"/>
          <w:numId w:val="7"/>
        </w:numPr>
        <w:spacing w:line="360" w:lineRule="auto"/>
        <w:rPr>
          <w:rFonts w:hAnsi="宋体" w:cs="宋体"/>
          <w:szCs w:val="21"/>
        </w:rPr>
      </w:pPr>
      <w:r>
        <w:rPr>
          <w:rFonts w:hint="eastAsia" w:hAnsi="宋体" w:cs="宋体"/>
          <w:szCs w:val="21"/>
        </w:rPr>
        <w:t>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pPr>
        <w:pStyle w:val="15"/>
        <w:numPr>
          <w:ilvl w:val="0"/>
          <w:numId w:val="7"/>
        </w:numPr>
        <w:spacing w:line="360" w:lineRule="auto"/>
        <w:rPr>
          <w:rFonts w:hAnsi="宋体" w:cs="宋体"/>
          <w:szCs w:val="21"/>
        </w:rPr>
      </w:pPr>
      <w:r>
        <w:rPr>
          <w:rFonts w:hint="eastAsia" w:hAnsi="宋体" w:cs="宋体"/>
          <w:szCs w:val="21"/>
        </w:rPr>
        <w:t>我方已详细审核竞争性磋商采购文件，我方知道必须放弃提出含糊不清或误解问题的权利。</w:t>
      </w:r>
    </w:p>
    <w:p>
      <w:pPr>
        <w:pStyle w:val="15"/>
        <w:numPr>
          <w:ilvl w:val="0"/>
          <w:numId w:val="7"/>
        </w:numPr>
        <w:spacing w:line="360" w:lineRule="auto"/>
        <w:rPr>
          <w:rFonts w:hAnsi="宋体" w:cs="宋体"/>
          <w:szCs w:val="21"/>
        </w:rPr>
      </w:pPr>
      <w:r>
        <w:rPr>
          <w:rFonts w:hint="eastAsia" w:hAnsi="宋体" w:cs="宋体"/>
          <w:szCs w:val="21"/>
        </w:rPr>
        <w:t>我方承诺满足竞争性磋商采购文件第五章“合同文本”的条款，承担完成合同的责任和义务。</w:t>
      </w:r>
    </w:p>
    <w:p>
      <w:pPr>
        <w:pStyle w:val="15"/>
        <w:numPr>
          <w:ilvl w:val="0"/>
          <w:numId w:val="7"/>
        </w:numPr>
        <w:spacing w:line="360" w:lineRule="auto"/>
        <w:rPr>
          <w:rFonts w:hAnsi="宋体" w:cs="宋体"/>
          <w:szCs w:val="21"/>
        </w:rPr>
      </w:pPr>
      <w:r>
        <w:rPr>
          <w:rFonts w:hint="eastAsia" w:hAnsi="宋体" w:cs="宋体"/>
          <w:szCs w:val="21"/>
        </w:rPr>
        <w:t>我方同意应贵方要求提供与本竞标有关的任何数据或资料。若贵方需要，我方愿意提供我方作出的一切承诺的证明材料。</w:t>
      </w:r>
    </w:p>
    <w:p>
      <w:pPr>
        <w:pStyle w:val="15"/>
        <w:numPr>
          <w:ilvl w:val="0"/>
          <w:numId w:val="7"/>
        </w:numPr>
        <w:spacing w:line="360" w:lineRule="auto"/>
        <w:rPr>
          <w:rFonts w:hAnsi="宋体" w:cs="宋体"/>
          <w:szCs w:val="21"/>
        </w:rPr>
      </w:pPr>
      <w:r>
        <w:rPr>
          <w:rFonts w:hint="eastAsia" w:hAnsi="宋体" w:cs="宋体"/>
          <w:szCs w:val="21"/>
        </w:rPr>
        <w:t>我方完全理解贵方不一定接受响应报价最低的</w:t>
      </w:r>
      <w:r>
        <w:rPr>
          <w:rFonts w:hint="eastAsia" w:ascii="宋体" w:hAnsi="宋体" w:cs="宋体"/>
          <w:color w:val="auto"/>
          <w:lang w:val="en-US" w:eastAsia="zh-CN"/>
        </w:rPr>
        <w:t>供应商</w:t>
      </w:r>
      <w:r>
        <w:rPr>
          <w:rFonts w:hint="eastAsia" w:hAnsi="宋体" w:cs="宋体"/>
          <w:szCs w:val="21"/>
        </w:rPr>
        <w:t>为成交供应商的行为。</w:t>
      </w:r>
    </w:p>
    <w:p>
      <w:pPr>
        <w:pStyle w:val="15"/>
        <w:numPr>
          <w:ilvl w:val="0"/>
          <w:numId w:val="7"/>
        </w:numPr>
        <w:spacing w:line="360" w:lineRule="auto"/>
        <w:rPr>
          <w:rFonts w:hAnsi="宋体" w:cs="宋体"/>
          <w:szCs w:val="21"/>
        </w:rPr>
      </w:pPr>
      <w:r>
        <w:rPr>
          <w:rFonts w:hint="eastAsia" w:hAnsi="宋体" w:cs="宋体"/>
          <w:szCs w:val="21"/>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8"/>
        </w:numPr>
        <w:tabs>
          <w:tab w:val="left" w:pos="945"/>
        </w:tabs>
        <w:spacing w:line="360" w:lineRule="auto"/>
        <w:rPr>
          <w:rFonts w:hAnsi="宋体" w:cs="宋体"/>
          <w:szCs w:val="21"/>
        </w:rPr>
      </w:pPr>
      <w:r>
        <w:rPr>
          <w:rFonts w:hint="eastAsia" w:hAnsi="宋体" w:cs="宋体"/>
          <w:szCs w:val="21"/>
        </w:rPr>
        <w:t>提供虚假材料谋取中标、成交的；</w:t>
      </w:r>
    </w:p>
    <w:p>
      <w:pPr>
        <w:pStyle w:val="15"/>
        <w:numPr>
          <w:ilvl w:val="0"/>
          <w:numId w:val="8"/>
        </w:numPr>
        <w:tabs>
          <w:tab w:val="left" w:pos="945"/>
        </w:tabs>
        <w:spacing w:line="360" w:lineRule="auto"/>
        <w:rPr>
          <w:rFonts w:hAnsi="宋体" w:cs="宋体"/>
          <w:szCs w:val="21"/>
        </w:rPr>
      </w:pPr>
      <w:r>
        <w:rPr>
          <w:rFonts w:hint="eastAsia" w:hAnsi="宋体" w:cs="宋体"/>
          <w:szCs w:val="21"/>
        </w:rPr>
        <w:t>采取不正当手段诋毁、排挤其他供应商的；</w:t>
      </w:r>
    </w:p>
    <w:p>
      <w:pPr>
        <w:pStyle w:val="15"/>
        <w:numPr>
          <w:ilvl w:val="0"/>
          <w:numId w:val="8"/>
        </w:numPr>
        <w:tabs>
          <w:tab w:val="left" w:pos="945"/>
        </w:tabs>
        <w:spacing w:line="360" w:lineRule="auto"/>
        <w:rPr>
          <w:rFonts w:hAnsi="宋体" w:cs="宋体"/>
          <w:szCs w:val="21"/>
        </w:rPr>
      </w:pPr>
      <w:r>
        <w:rPr>
          <w:rFonts w:hint="eastAsia" w:hAnsi="宋体" w:cs="宋体"/>
          <w:szCs w:val="21"/>
        </w:rPr>
        <w:t>与采购人、其他供应商或者采购代理机构恶意串通的；</w:t>
      </w:r>
    </w:p>
    <w:p>
      <w:pPr>
        <w:pStyle w:val="15"/>
        <w:numPr>
          <w:ilvl w:val="0"/>
          <w:numId w:val="8"/>
        </w:numPr>
        <w:tabs>
          <w:tab w:val="left" w:pos="945"/>
        </w:tabs>
        <w:spacing w:line="360" w:lineRule="auto"/>
        <w:rPr>
          <w:rFonts w:hAnsi="宋体" w:cs="宋体"/>
          <w:szCs w:val="21"/>
        </w:rPr>
      </w:pPr>
      <w:r>
        <w:rPr>
          <w:rFonts w:hint="eastAsia" w:hAnsi="宋体" w:cs="宋体"/>
          <w:szCs w:val="21"/>
        </w:rPr>
        <w:t>向采购人、采购代理机构行贿或者提供其他不正当利益的；</w:t>
      </w:r>
    </w:p>
    <w:p>
      <w:pPr>
        <w:pStyle w:val="15"/>
        <w:numPr>
          <w:ilvl w:val="0"/>
          <w:numId w:val="8"/>
        </w:numPr>
        <w:tabs>
          <w:tab w:val="left" w:pos="945"/>
        </w:tabs>
        <w:spacing w:line="360" w:lineRule="auto"/>
        <w:rPr>
          <w:rFonts w:hAnsi="宋体" w:cs="宋体"/>
          <w:szCs w:val="21"/>
        </w:rPr>
      </w:pPr>
      <w:r>
        <w:rPr>
          <w:rFonts w:hint="eastAsia" w:hAnsi="宋体" w:cs="宋体"/>
          <w:szCs w:val="21"/>
        </w:rPr>
        <w:t>在采购过程中与采购人进行协商谈判的；</w:t>
      </w:r>
    </w:p>
    <w:p>
      <w:pPr>
        <w:pStyle w:val="15"/>
        <w:numPr>
          <w:ilvl w:val="0"/>
          <w:numId w:val="8"/>
        </w:numPr>
        <w:tabs>
          <w:tab w:val="left" w:pos="945"/>
        </w:tabs>
        <w:spacing w:line="360" w:lineRule="auto"/>
        <w:rPr>
          <w:rFonts w:hAnsi="宋体" w:cs="宋体"/>
          <w:szCs w:val="21"/>
        </w:rPr>
      </w:pPr>
      <w:r>
        <w:rPr>
          <w:rFonts w:hint="eastAsia" w:hAnsi="宋体" w:cs="宋体"/>
          <w:szCs w:val="21"/>
        </w:rPr>
        <w:t>拒绝有关部门监督检查或提供虚假情况的。</w:t>
      </w:r>
    </w:p>
    <w:p>
      <w:pPr>
        <w:pStyle w:val="15"/>
        <w:spacing w:line="360" w:lineRule="auto"/>
        <w:ind w:firstLine="420"/>
        <w:rPr>
          <w:rFonts w:hAnsi="宋体" w:cs="宋体"/>
          <w:szCs w:val="21"/>
        </w:rPr>
      </w:pPr>
      <w:r>
        <w:rPr>
          <w:rFonts w:hint="eastAsia" w:hAnsi="宋体" w:cs="宋体"/>
          <w:szCs w:val="21"/>
        </w:rPr>
        <w:t>10.与本磋商有关的一切正式往来信函请寄：</w:t>
      </w:r>
    </w:p>
    <w:p>
      <w:pPr>
        <w:pStyle w:val="15"/>
        <w:spacing w:line="360" w:lineRule="auto"/>
        <w:ind w:firstLine="420"/>
        <w:rPr>
          <w:rFonts w:hAnsi="宋体" w:cs="宋体"/>
          <w:szCs w:val="21"/>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w:t>
      </w:r>
    </w:p>
    <w:p>
      <w:pPr>
        <w:pStyle w:val="15"/>
        <w:spacing w:line="360" w:lineRule="auto"/>
        <w:ind w:firstLine="420"/>
        <w:rPr>
          <w:rFonts w:hAnsi="宋体" w:cs="宋体"/>
          <w:szCs w:val="21"/>
          <w:u w:val="single"/>
        </w:rPr>
      </w:pPr>
      <w:r>
        <w:rPr>
          <w:rFonts w:hint="eastAsia" w:hAnsi="宋体" w:cs="宋体"/>
          <w:szCs w:val="21"/>
        </w:rPr>
        <w:t>电话：</w:t>
      </w:r>
      <w:r>
        <w:rPr>
          <w:rFonts w:hint="eastAsia" w:hAnsi="宋体" w:cs="宋体"/>
          <w:szCs w:val="21"/>
          <w:u w:val="single"/>
        </w:rPr>
        <w:t xml:space="preserve">                                      　　　　　　　　　</w:t>
      </w:r>
    </w:p>
    <w:p>
      <w:pPr>
        <w:pStyle w:val="15"/>
        <w:spacing w:line="360" w:lineRule="auto"/>
        <w:ind w:firstLine="420"/>
        <w:rPr>
          <w:rFonts w:hAnsi="宋体" w:cs="宋体"/>
          <w:szCs w:val="21"/>
        </w:rPr>
      </w:pPr>
      <w:r>
        <w:rPr>
          <w:rFonts w:hint="eastAsia" w:hAnsi="宋体" w:cs="宋体"/>
          <w:szCs w:val="21"/>
        </w:rPr>
        <w:t>传真：</w:t>
      </w:r>
      <w:r>
        <w:rPr>
          <w:rFonts w:hint="eastAsia" w:hAnsi="宋体" w:cs="宋体"/>
          <w:szCs w:val="21"/>
          <w:u w:val="single"/>
        </w:rPr>
        <w:t>　　　　　　　　　　　　　　　　　　　　　　　　　　　　</w:t>
      </w:r>
    </w:p>
    <w:p>
      <w:pPr>
        <w:pStyle w:val="15"/>
        <w:spacing w:line="360" w:lineRule="auto"/>
        <w:ind w:firstLine="420"/>
        <w:rPr>
          <w:rFonts w:hAnsi="宋体" w:cs="宋体"/>
          <w:szCs w:val="21"/>
          <w:u w:val="single"/>
        </w:rPr>
      </w:pPr>
      <w:r>
        <w:rPr>
          <w:rFonts w:hint="eastAsia" w:hAnsi="宋体" w:cs="宋体"/>
          <w:szCs w:val="21"/>
        </w:rPr>
        <w:t>邮政编码：</w:t>
      </w:r>
      <w:r>
        <w:rPr>
          <w:rFonts w:hint="eastAsia" w:hAnsi="宋体" w:cs="宋体"/>
          <w:szCs w:val="21"/>
          <w:u w:val="single"/>
        </w:rPr>
        <w:t xml:space="preserve">                                                    </w:t>
      </w:r>
    </w:p>
    <w:p>
      <w:pPr>
        <w:pStyle w:val="15"/>
        <w:spacing w:line="360" w:lineRule="auto"/>
        <w:ind w:firstLine="420"/>
        <w:rPr>
          <w:rFonts w:hAnsi="宋体" w:cs="宋体"/>
          <w:szCs w:val="21"/>
          <w:u w:val="single"/>
        </w:rPr>
      </w:pPr>
      <w:r>
        <w:rPr>
          <w:rFonts w:hint="eastAsia" w:hAnsi="宋体" w:cs="宋体"/>
          <w:szCs w:val="21"/>
        </w:rPr>
        <w:t>开户名称：</w:t>
      </w:r>
      <w:r>
        <w:rPr>
          <w:rFonts w:hint="eastAsia" w:hAnsi="宋体" w:cs="宋体"/>
          <w:szCs w:val="21"/>
          <w:u w:val="single"/>
        </w:rPr>
        <w:t xml:space="preserve">                                                    </w:t>
      </w:r>
    </w:p>
    <w:p>
      <w:pPr>
        <w:pStyle w:val="15"/>
        <w:spacing w:line="360" w:lineRule="auto"/>
        <w:ind w:firstLine="420"/>
        <w:rPr>
          <w:rFonts w:hAnsi="宋体" w:cs="宋体"/>
          <w:szCs w:val="21"/>
          <w:u w:val="single"/>
        </w:rPr>
      </w:pPr>
      <w:r>
        <w:rPr>
          <w:rFonts w:hint="eastAsia" w:hAnsi="宋体" w:cs="宋体"/>
          <w:szCs w:val="21"/>
        </w:rPr>
        <w:t>开户银行：</w:t>
      </w:r>
      <w:r>
        <w:rPr>
          <w:rFonts w:hint="eastAsia" w:hAnsi="宋体" w:cs="宋体"/>
          <w:szCs w:val="21"/>
          <w:u w:val="single"/>
        </w:rPr>
        <w:t xml:space="preserve">                                                    </w:t>
      </w:r>
    </w:p>
    <w:p>
      <w:pPr>
        <w:pStyle w:val="15"/>
        <w:spacing w:line="360" w:lineRule="auto"/>
        <w:ind w:firstLine="420"/>
        <w:rPr>
          <w:rFonts w:hAnsi="宋体" w:cs="宋体"/>
          <w:szCs w:val="21"/>
          <w:u w:val="single"/>
        </w:rPr>
      </w:pPr>
      <w:r>
        <w:rPr>
          <w:rFonts w:hint="eastAsia" w:hAnsi="宋体" w:cs="宋体"/>
          <w:szCs w:val="21"/>
        </w:rPr>
        <w:t>银行账号：</w:t>
      </w:r>
      <w:r>
        <w:rPr>
          <w:rFonts w:hint="eastAsia" w:hAnsi="宋体" w:cs="宋体"/>
          <w:szCs w:val="21"/>
          <w:u w:val="single"/>
        </w:rPr>
        <w:t xml:space="preserve">                                                    </w:t>
      </w:r>
    </w:p>
    <w:p>
      <w:pPr>
        <w:pStyle w:val="13"/>
        <w:tabs>
          <w:tab w:val="left" w:pos="939"/>
        </w:tabs>
        <w:spacing w:line="360" w:lineRule="auto"/>
        <w:ind w:left="161" w:leftChars="67" w:firstLine="315" w:firstLineChars="150"/>
        <w:rPr>
          <w:rFonts w:ascii="宋体" w:hAnsi="宋体" w:cs="宋体"/>
          <w:sz w:val="21"/>
          <w:szCs w:val="21"/>
        </w:rPr>
      </w:pPr>
      <w:r>
        <w:rPr>
          <w:rFonts w:hint="eastAsia" w:ascii="宋体" w:hAnsi="宋体" w:cs="宋体"/>
          <w:sz w:val="21"/>
          <w:szCs w:val="21"/>
        </w:rPr>
        <w:t>特此承诺。</w:t>
      </w:r>
    </w:p>
    <w:p>
      <w:pPr>
        <w:spacing w:line="360" w:lineRule="auto"/>
        <w:contextualSpacing/>
        <w:jc w:val="left"/>
        <w:rPr>
          <w:rFonts w:ascii="宋体" w:hAnsi="宋体" w:cs="宋体"/>
          <w:szCs w:val="21"/>
        </w:rPr>
      </w:pPr>
    </w:p>
    <w:p>
      <w:pPr>
        <w:spacing w:line="500" w:lineRule="exact"/>
        <w:ind w:firstLine="3300" w:firstLineChars="1500"/>
        <w:rPr>
          <w:rFonts w:ascii="宋体" w:hAnsi="宋体" w:cs="宋体"/>
          <w:sz w:val="22"/>
          <w:szCs w:val="22"/>
        </w:rPr>
      </w:pPr>
      <w:r>
        <w:rPr>
          <w:rFonts w:hint="eastAsia" w:ascii="宋体" w:hAnsi="宋体" w:cs="宋体"/>
          <w:sz w:val="22"/>
          <w:szCs w:val="22"/>
        </w:rPr>
        <w:t>供应商名称（牵头方全称并加盖CA电子签章）：</w:t>
      </w:r>
      <w:r>
        <w:rPr>
          <w:rFonts w:hint="eastAsia" w:ascii="宋体" w:hAnsi="宋体" w:cs="宋体"/>
          <w:sz w:val="22"/>
          <w:szCs w:val="22"/>
          <w:u w:val="single"/>
        </w:rPr>
        <w:t xml:space="preserve">                </w:t>
      </w:r>
    </w:p>
    <w:p>
      <w:pPr>
        <w:spacing w:line="500" w:lineRule="exact"/>
        <w:ind w:firstLine="440" w:firstLineChars="200"/>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ind w:left="440" w:firstLine="6050" w:firstLineChars="2750"/>
        <w:rPr>
          <w:rFonts w:hAnsi="宋体" w:cs="宋体"/>
          <w:sz w:val="22"/>
          <w:szCs w:val="22"/>
        </w:rPr>
      </w:pPr>
      <w:r>
        <w:rPr>
          <w:rFonts w:hint="eastAsia" w:hAnsi="宋体" w:cs="宋体"/>
          <w:sz w:val="22"/>
          <w:szCs w:val="22"/>
        </w:rPr>
        <w:t>日期：  年  月  日</w:t>
      </w:r>
    </w:p>
    <w:p>
      <w:pPr>
        <w:rPr>
          <w:rFonts w:ascii="Arial" w:hAnsi="Arial"/>
          <w:szCs w:val="32"/>
          <w:lang w:val="zh-CN"/>
        </w:rPr>
      </w:pPr>
    </w:p>
    <w:p>
      <w:pPr>
        <w:rPr>
          <w:lang w:val="zh-CN"/>
        </w:rPr>
      </w:pPr>
    </w:p>
    <w:p>
      <w:pPr>
        <w:rPr>
          <w:rFonts w:ascii="Arial" w:hAnsi="Arial"/>
          <w:szCs w:val="32"/>
          <w:lang w:val="zh-CN"/>
        </w:rPr>
      </w:pPr>
    </w:p>
    <w:p>
      <w:pPr>
        <w:rPr>
          <w:lang w:val="zh-CN"/>
        </w:rPr>
        <w:sectPr>
          <w:pgSz w:w="11910" w:h="16840"/>
          <w:pgMar w:top="1440" w:right="1080" w:bottom="1440" w:left="1080" w:header="720" w:footer="720" w:gutter="0"/>
          <w:cols w:space="720" w:num="1"/>
        </w:sectPr>
      </w:pPr>
    </w:p>
    <w:p>
      <w:pPr>
        <w:spacing w:line="360" w:lineRule="auto"/>
        <w:outlineLvl w:val="2"/>
        <w:rPr>
          <w:rFonts w:ascii="宋体" w:hAnsi="宋体" w:cs="宋体"/>
          <w:b/>
          <w:bCs/>
          <w:szCs w:val="21"/>
        </w:rPr>
      </w:pPr>
      <w:bookmarkStart w:id="208" w:name="_Toc5005"/>
      <w:bookmarkStart w:id="209" w:name="_Toc2187"/>
      <w:bookmarkStart w:id="210" w:name="_Toc74"/>
      <w:bookmarkStart w:id="211" w:name="_Toc14774"/>
      <w:bookmarkStart w:id="212" w:name="_Toc11544"/>
      <w:bookmarkStart w:id="213" w:name="_Toc2718"/>
      <w:bookmarkStart w:id="214" w:name="_Toc18695"/>
      <w:bookmarkStart w:id="215" w:name="_Toc4171"/>
      <w:bookmarkStart w:id="216" w:name="_Toc6604"/>
      <w:bookmarkStart w:id="217" w:name="_Toc31632"/>
      <w:r>
        <w:rPr>
          <w:rFonts w:hint="eastAsia" w:ascii="宋体" w:hAnsi="宋体" w:cs="宋体"/>
          <w:szCs w:val="21"/>
        </w:rPr>
        <w:t>二</w:t>
      </w:r>
      <w:r>
        <w:rPr>
          <w:rFonts w:hint="eastAsia" w:ascii="宋体" w:hAnsi="宋体" w:cs="宋体"/>
          <w:b/>
          <w:bCs/>
          <w:szCs w:val="21"/>
        </w:rPr>
        <w:t>、响应报价表</w:t>
      </w:r>
      <w:bookmarkEnd w:id="208"/>
      <w:bookmarkEnd w:id="209"/>
      <w:bookmarkEnd w:id="210"/>
      <w:bookmarkEnd w:id="211"/>
      <w:bookmarkEnd w:id="212"/>
      <w:bookmarkEnd w:id="213"/>
      <w:bookmarkEnd w:id="214"/>
      <w:bookmarkEnd w:id="215"/>
      <w:bookmarkEnd w:id="216"/>
      <w:bookmarkEnd w:id="217"/>
    </w:p>
    <w:p>
      <w:pPr>
        <w:snapToGrid w:val="0"/>
        <w:spacing w:before="50" w:after="50"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50" w:after="50"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p>
      <w:pPr>
        <w:spacing w:line="300" w:lineRule="auto"/>
        <w:ind w:right="105"/>
        <w:jc w:val="right"/>
        <w:rPr>
          <w:rFonts w:ascii="宋体" w:hAnsi="宋体" w:cs="宋体"/>
          <w:szCs w:val="21"/>
          <w:u w:val="single"/>
        </w:rPr>
      </w:pPr>
      <w:r>
        <w:rPr>
          <w:rFonts w:hint="eastAsia" w:ascii="宋体" w:hAnsi="宋体" w:cs="宋体"/>
          <w:szCs w:val="21"/>
          <w:u w:val="single"/>
        </w:rPr>
        <w:t>单位：元</w:t>
      </w:r>
    </w:p>
    <w:tbl>
      <w:tblPr>
        <w:tblStyle w:val="25"/>
        <w:tblW w:w="95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2467"/>
        <w:gridCol w:w="1160"/>
        <w:gridCol w:w="2031"/>
        <w:gridCol w:w="1885"/>
        <w:gridCol w:w="1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rPr>
            </w:pPr>
            <w:r>
              <w:rPr>
                <w:rFonts w:hint="eastAsia" w:ascii="宋体" w:hAnsi="宋体" w:cs="宋体"/>
              </w:rPr>
              <w:t>项号</w:t>
            </w:r>
          </w:p>
        </w:tc>
        <w:tc>
          <w:tcPr>
            <w:tcW w:w="24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rPr>
            </w:pPr>
            <w:r>
              <w:rPr>
                <w:rFonts w:hint="eastAsia" w:ascii="宋体" w:hAnsi="宋体" w:cs="宋体"/>
                <w:szCs w:val="21"/>
              </w:rPr>
              <w:t>服务项目名称</w:t>
            </w: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szCs w:val="21"/>
              </w:rPr>
              <w:t>数量</w:t>
            </w:r>
          </w:p>
        </w:tc>
        <w:tc>
          <w:tcPr>
            <w:tcW w:w="20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szCs w:val="21"/>
              </w:rPr>
              <w:t>单价</w:t>
            </w:r>
          </w:p>
        </w:tc>
        <w:tc>
          <w:tcPr>
            <w:tcW w:w="18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szCs w:val="21"/>
              </w:rPr>
              <w:t>总价</w:t>
            </w:r>
          </w:p>
        </w:tc>
        <w:tc>
          <w:tcPr>
            <w:tcW w:w="1310"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rPr>
            </w:pPr>
            <w:r>
              <w:rPr>
                <w:rFonts w:hint="eastAsia" w:ascii="宋体" w:hAnsi="宋体" w:cs="宋体"/>
                <w:szCs w:val="21"/>
              </w:rPr>
              <w:t>是否小、微企业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s="宋体"/>
                <w:bCs/>
                <w:szCs w:val="21"/>
              </w:rPr>
            </w:pPr>
            <w:r>
              <w:rPr>
                <w:rFonts w:hint="eastAsia" w:ascii="宋体" w:hAnsi="宋体" w:cs="宋体"/>
                <w:bCs/>
                <w:szCs w:val="21"/>
              </w:rPr>
              <w:t>1</w:t>
            </w:r>
          </w:p>
        </w:tc>
        <w:tc>
          <w:tcPr>
            <w:tcW w:w="2467" w:type="dxa"/>
            <w:tcBorders>
              <w:top w:val="single" w:color="auto" w:sz="4" w:space="0"/>
              <w:left w:val="single" w:color="auto" w:sz="4" w:space="0"/>
              <w:bottom w:val="single" w:color="auto" w:sz="4" w:space="0"/>
              <w:right w:val="single" w:color="auto" w:sz="4" w:space="0"/>
            </w:tcBorders>
            <w:vAlign w:val="center"/>
          </w:tcPr>
          <w:p>
            <w:pPr>
              <w:pStyle w:val="15"/>
              <w:ind w:firstLine="330"/>
              <w:jc w:val="center"/>
              <w:rPr>
                <w:rFonts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s="宋体"/>
                <w:szCs w:val="21"/>
              </w:rPr>
            </w:pPr>
          </w:p>
        </w:tc>
        <w:tc>
          <w:tcPr>
            <w:tcW w:w="203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Cs/>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Cs/>
              </w:rPr>
            </w:pPr>
          </w:p>
        </w:tc>
        <w:tc>
          <w:tcPr>
            <w:tcW w:w="1310"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s="宋体"/>
                <w:bCs/>
                <w:szCs w:val="21"/>
              </w:rPr>
            </w:pPr>
            <w:r>
              <w:rPr>
                <w:rFonts w:hint="eastAsia" w:ascii="宋体" w:hAnsi="宋体" w:cs="宋体"/>
                <w:szCs w:val="21"/>
              </w:rPr>
              <w:t>……</w:t>
            </w:r>
          </w:p>
        </w:tc>
        <w:tc>
          <w:tcPr>
            <w:tcW w:w="2467" w:type="dxa"/>
            <w:tcBorders>
              <w:top w:val="single" w:color="auto" w:sz="4" w:space="0"/>
              <w:left w:val="single" w:color="auto" w:sz="4" w:space="0"/>
              <w:bottom w:val="single" w:color="auto" w:sz="4" w:space="0"/>
              <w:right w:val="single" w:color="auto" w:sz="4" w:space="0"/>
            </w:tcBorders>
            <w:vAlign w:val="center"/>
          </w:tcPr>
          <w:p>
            <w:pPr>
              <w:pStyle w:val="15"/>
              <w:ind w:firstLine="330"/>
              <w:jc w:val="center"/>
              <w:rPr>
                <w:rFonts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s="宋体"/>
                <w:szCs w:val="21"/>
              </w:rPr>
            </w:pPr>
          </w:p>
        </w:tc>
        <w:tc>
          <w:tcPr>
            <w:tcW w:w="203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Cs/>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Cs/>
              </w:rPr>
            </w:pPr>
          </w:p>
        </w:tc>
        <w:tc>
          <w:tcPr>
            <w:tcW w:w="1310"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577" w:type="dxa"/>
            <w:gridSpan w:val="6"/>
            <w:tcBorders>
              <w:top w:val="single" w:color="auto" w:sz="4" w:space="0"/>
              <w:left w:val="single" w:color="auto" w:sz="4" w:space="0"/>
              <w:bottom w:val="single" w:color="auto" w:sz="4" w:space="0"/>
            </w:tcBorders>
            <w:vAlign w:val="center"/>
          </w:tcPr>
          <w:p>
            <w:pPr>
              <w:spacing w:line="420" w:lineRule="exact"/>
              <w:rPr>
                <w:rFonts w:ascii="宋体" w:hAnsi="宋体" w:cs="宋体"/>
                <w:bCs/>
              </w:rPr>
            </w:pPr>
            <w:r>
              <w:rPr>
                <w:rFonts w:hint="eastAsia" w:ascii="宋体" w:hAnsi="宋体" w:cs="宋体"/>
                <w:spacing w:val="-6"/>
              </w:rPr>
              <w:t>首次报价（大写）： _____________________________（￥_______________元）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577" w:type="dxa"/>
            <w:gridSpan w:val="6"/>
            <w:tcBorders>
              <w:top w:val="single" w:color="auto" w:sz="4" w:space="0"/>
              <w:left w:val="single" w:color="auto" w:sz="4" w:space="0"/>
              <w:bottom w:val="single" w:color="auto" w:sz="4" w:space="0"/>
            </w:tcBorders>
            <w:vAlign w:val="center"/>
          </w:tcPr>
          <w:p>
            <w:pPr>
              <w:spacing w:line="420" w:lineRule="exact"/>
              <w:rPr>
                <w:rFonts w:ascii="宋体" w:hAnsi="宋体" w:cs="宋体"/>
                <w:spacing w:val="-6"/>
              </w:rPr>
            </w:pPr>
            <w:r>
              <w:rPr>
                <w:rFonts w:hint="eastAsia" w:ascii="宋体" w:hAnsi="宋体" w:cs="宋体"/>
                <w:spacing w:val="-6"/>
              </w:rPr>
              <w:t>服务期限：</w:t>
            </w:r>
          </w:p>
        </w:tc>
      </w:tr>
    </w:tbl>
    <w:p>
      <w:pPr>
        <w:snapToGrid w:val="0"/>
        <w:spacing w:before="50" w:after="50" w:line="360" w:lineRule="auto"/>
        <w:jc w:val="left"/>
        <w:rPr>
          <w:rFonts w:ascii="宋体" w:hAnsi="宋体" w:cs="宋体"/>
          <w:kern w:val="0"/>
          <w:szCs w:val="21"/>
          <w:lang w:val="zh-CN"/>
        </w:rPr>
      </w:pPr>
    </w:p>
    <w:p>
      <w:pPr>
        <w:snapToGrid w:val="0"/>
        <w:spacing w:before="50" w:after="50" w:line="360" w:lineRule="auto"/>
        <w:ind w:firstLine="48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pPr>
        <w:snapToGrid w:val="0"/>
        <w:spacing w:before="50" w:after="50" w:line="360" w:lineRule="auto"/>
        <w:ind w:firstLine="480" w:firstLineChars="200"/>
        <w:jc w:val="left"/>
        <w:rPr>
          <w:rFonts w:ascii="宋体" w:hAnsi="宋体" w:cs="宋体"/>
          <w:kern w:val="0"/>
          <w:szCs w:val="21"/>
          <w:lang w:val="zh-CN"/>
        </w:rPr>
      </w:pPr>
      <w:r>
        <w:rPr>
          <w:rFonts w:hint="eastAsia" w:ascii="宋体" w:hAnsi="宋体" w:cs="宋体"/>
          <w:kern w:val="0"/>
          <w:szCs w:val="21"/>
          <w:lang w:val="zh-CN"/>
        </w:rPr>
        <w:t>1、供应商需按本表格式填写，不得自行更改，也不得留空</w:t>
      </w:r>
      <w:r>
        <w:rPr>
          <w:rFonts w:hint="eastAsia" w:ascii="宋体" w:hAnsi="宋体" w:cs="宋体"/>
          <w:b/>
          <w:kern w:val="0"/>
          <w:szCs w:val="21"/>
          <w:lang w:val="zh-CN"/>
        </w:rPr>
        <w:t>。</w:t>
      </w:r>
    </w:p>
    <w:p>
      <w:pPr>
        <w:snapToGrid w:val="0"/>
        <w:spacing w:line="360" w:lineRule="auto"/>
        <w:ind w:firstLine="480" w:firstLineChars="200"/>
        <w:jc w:val="left"/>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、特别提示：采购机构将对项目名称和项目编号，成交供应商名称、地址和成交金额，主要成交标的的名称、规格型号、数量、单价、服务要求等予以公示。</w:t>
      </w:r>
    </w:p>
    <w:p>
      <w:pPr>
        <w:snapToGrid w:val="0"/>
        <w:spacing w:line="360" w:lineRule="auto"/>
        <w:ind w:firstLine="480" w:firstLineChars="200"/>
        <w:jc w:val="left"/>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920" w:leftChars="1950" w:hanging="240" w:hangingChars="100"/>
        <w:rPr>
          <w:rFonts w:ascii="宋体" w:hAnsi="宋体" w:cs="宋体"/>
          <w:kern w:val="0"/>
          <w:szCs w:val="21"/>
        </w:rPr>
      </w:pPr>
    </w:p>
    <w:p>
      <w:pPr>
        <w:spacing w:line="500" w:lineRule="exact"/>
        <w:ind w:firstLine="3300" w:firstLineChars="1500"/>
        <w:rPr>
          <w:rFonts w:ascii="宋体" w:hAnsi="宋体" w:cs="宋体"/>
          <w:sz w:val="22"/>
          <w:szCs w:val="22"/>
        </w:rPr>
      </w:pPr>
      <w:r>
        <w:rPr>
          <w:rFonts w:hint="eastAsia" w:ascii="宋体" w:hAnsi="宋体" w:cs="宋体"/>
          <w:sz w:val="22"/>
          <w:szCs w:val="22"/>
        </w:rPr>
        <w:t>供应商名称（牵头方全称并加盖CA电子签章）：</w:t>
      </w:r>
      <w:r>
        <w:rPr>
          <w:rFonts w:hint="eastAsia" w:ascii="宋体" w:hAnsi="宋体" w:cs="宋体"/>
          <w:sz w:val="22"/>
          <w:szCs w:val="22"/>
          <w:u w:val="single"/>
        </w:rPr>
        <w:t xml:space="preserve">                </w:t>
      </w:r>
    </w:p>
    <w:p>
      <w:pPr>
        <w:spacing w:line="500" w:lineRule="exact"/>
        <w:ind w:firstLine="440" w:firstLineChars="200"/>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ind w:left="440" w:firstLine="6050" w:firstLineChars="2750"/>
        <w:rPr>
          <w:rFonts w:hAnsi="宋体" w:cs="宋体"/>
          <w:sz w:val="22"/>
          <w:szCs w:val="22"/>
        </w:rPr>
      </w:pPr>
      <w:r>
        <w:rPr>
          <w:rFonts w:hint="eastAsia" w:hAnsi="宋体" w:cs="宋体"/>
          <w:sz w:val="22"/>
          <w:szCs w:val="22"/>
        </w:rPr>
        <w:t>日期：  年  月  日</w:t>
      </w:r>
    </w:p>
    <w:p>
      <w:pPr>
        <w:rPr>
          <w:rFonts w:hAnsi="宋体" w:cs="宋体"/>
          <w:szCs w:val="21"/>
          <w:lang w:val="zh-CN"/>
        </w:rPr>
      </w:pPr>
    </w:p>
    <w:p>
      <w:pPr>
        <w:pStyle w:val="14"/>
        <w:rPr>
          <w:rFonts w:hAnsi="宋体" w:cs="宋体"/>
          <w:szCs w:val="21"/>
          <w:lang w:val="zh-CN"/>
        </w:rPr>
      </w:pPr>
    </w:p>
    <w:p>
      <w:pPr>
        <w:spacing w:line="360" w:lineRule="auto"/>
        <w:outlineLvl w:val="2"/>
        <w:rPr>
          <w:rFonts w:ascii="宋体" w:hAnsi="宋体" w:cs="宋体"/>
          <w:szCs w:val="21"/>
        </w:rPr>
      </w:pPr>
      <w:r>
        <w:rPr>
          <w:rFonts w:hint="eastAsia"/>
          <w:lang w:val="zh-CN"/>
        </w:rPr>
        <w:br w:type="page"/>
      </w:r>
      <w:bookmarkStart w:id="218" w:name="_Toc15221"/>
      <w:bookmarkStart w:id="219" w:name="_Toc1344"/>
      <w:bookmarkStart w:id="220" w:name="_Toc4357"/>
      <w:bookmarkStart w:id="221" w:name="_Toc5958"/>
      <w:bookmarkStart w:id="222" w:name="_Toc10293"/>
      <w:bookmarkStart w:id="223" w:name="_Toc15935"/>
      <w:bookmarkStart w:id="224" w:name="_Toc31444"/>
      <w:bookmarkStart w:id="225" w:name="_Toc22869"/>
      <w:bookmarkStart w:id="226" w:name="_Toc21448"/>
      <w:bookmarkStart w:id="227" w:name="_Toc19463"/>
      <w:r>
        <w:rPr>
          <w:rFonts w:hint="eastAsia"/>
          <w:lang w:val="zh-CN"/>
        </w:rPr>
        <w:t>三</w:t>
      </w:r>
      <w:r>
        <w:rPr>
          <w:rFonts w:hint="eastAsia" w:ascii="宋体" w:hAnsi="宋体" w:cs="宋体"/>
          <w:b/>
          <w:szCs w:val="21"/>
        </w:rPr>
        <w:t>、无串标行为承诺函</w:t>
      </w:r>
      <w:bookmarkEnd w:id="218"/>
      <w:bookmarkEnd w:id="219"/>
      <w:bookmarkEnd w:id="220"/>
      <w:bookmarkEnd w:id="221"/>
      <w:bookmarkEnd w:id="222"/>
      <w:bookmarkEnd w:id="223"/>
      <w:bookmarkEnd w:id="224"/>
      <w:bookmarkEnd w:id="225"/>
      <w:bookmarkEnd w:id="226"/>
      <w:bookmarkEnd w:id="227"/>
    </w:p>
    <w:p>
      <w:pPr>
        <w:spacing w:line="360" w:lineRule="auto"/>
        <w:jc w:val="center"/>
        <w:rPr>
          <w:rFonts w:ascii="宋体" w:hAnsi="宋体" w:cs="宋体"/>
          <w:szCs w:val="21"/>
        </w:rPr>
      </w:pPr>
    </w:p>
    <w:p>
      <w:pPr>
        <w:spacing w:line="360" w:lineRule="auto"/>
        <w:jc w:val="center"/>
        <w:rPr>
          <w:rFonts w:ascii="宋体" w:hAnsi="宋体" w:cs="宋体"/>
          <w:b/>
          <w:bCs/>
          <w:sz w:val="28"/>
          <w:szCs w:val="28"/>
        </w:rPr>
      </w:pPr>
      <w:r>
        <w:rPr>
          <w:rFonts w:hint="eastAsia" w:ascii="宋体" w:hAnsi="宋体" w:cs="宋体"/>
          <w:b/>
          <w:bCs/>
          <w:sz w:val="28"/>
          <w:szCs w:val="28"/>
        </w:rPr>
        <w:t>无串通竞标行为的承诺函</w:t>
      </w:r>
    </w:p>
    <w:p>
      <w:pPr>
        <w:spacing w:line="360" w:lineRule="auto"/>
        <w:ind w:firstLine="480" w:firstLineChars="200"/>
        <w:rPr>
          <w:rFonts w:ascii="宋体" w:hAnsi="宋体" w:cs="宋体"/>
          <w:szCs w:val="21"/>
        </w:rPr>
      </w:pPr>
    </w:p>
    <w:p>
      <w:pPr>
        <w:spacing w:line="360" w:lineRule="auto"/>
        <w:ind w:firstLine="482" w:firstLineChars="200"/>
        <w:contextualSpacing/>
        <w:rPr>
          <w:rFonts w:ascii="宋体" w:hAnsi="宋体" w:cs="宋体"/>
          <w:b/>
          <w:bCs/>
          <w:szCs w:val="21"/>
        </w:rPr>
      </w:pPr>
      <w:r>
        <w:rPr>
          <w:rFonts w:hint="eastAsia" w:ascii="宋体" w:hAnsi="宋体" w:cs="宋体"/>
          <w:b/>
          <w:bCs/>
          <w:szCs w:val="21"/>
        </w:rPr>
        <w:t>一、我方承诺无下列相互串通竞标的情形：</w:t>
      </w:r>
    </w:p>
    <w:p>
      <w:pPr>
        <w:spacing w:line="360" w:lineRule="auto"/>
        <w:ind w:firstLine="480" w:firstLineChars="200"/>
        <w:contextualSpacing/>
        <w:rPr>
          <w:rFonts w:ascii="宋体" w:hAnsi="宋体" w:cs="宋体"/>
          <w:szCs w:val="21"/>
        </w:rPr>
      </w:pPr>
      <w:r>
        <w:rPr>
          <w:rFonts w:hint="eastAsia" w:ascii="宋体" w:hAnsi="宋体" w:cs="宋体"/>
          <w:szCs w:val="21"/>
        </w:rPr>
        <w:t xml:space="preserve">1.不同供应商的响应文件由同一单位或者个人编制； </w:t>
      </w:r>
    </w:p>
    <w:p>
      <w:pPr>
        <w:spacing w:line="360" w:lineRule="auto"/>
        <w:ind w:firstLine="480" w:firstLineChars="200"/>
        <w:contextualSpacing/>
        <w:rPr>
          <w:rFonts w:ascii="宋体" w:hAnsi="宋体" w:cs="宋体"/>
          <w:szCs w:val="21"/>
        </w:rPr>
      </w:pPr>
      <w:r>
        <w:rPr>
          <w:rFonts w:hint="eastAsia" w:ascii="宋体" w:hAnsi="宋体" w:cs="宋体"/>
          <w:szCs w:val="21"/>
        </w:rPr>
        <w:t>2.不同供应商委托同一单位或者个人办理竞标事宜；</w:t>
      </w:r>
    </w:p>
    <w:p>
      <w:pPr>
        <w:spacing w:line="360" w:lineRule="auto"/>
        <w:ind w:firstLine="480" w:firstLineChars="200"/>
        <w:contextualSpacing/>
        <w:rPr>
          <w:rFonts w:ascii="宋体" w:hAnsi="宋体" w:cs="宋体"/>
          <w:szCs w:val="21"/>
        </w:rPr>
      </w:pPr>
      <w:r>
        <w:rPr>
          <w:rFonts w:hint="eastAsia" w:ascii="宋体" w:hAnsi="宋体" w:cs="宋体"/>
          <w:szCs w:val="21"/>
        </w:rPr>
        <w:t>3.不同供应商的响应文件载明的项目管理员为同一个人；</w:t>
      </w:r>
    </w:p>
    <w:p>
      <w:pPr>
        <w:spacing w:line="360" w:lineRule="auto"/>
        <w:ind w:firstLine="480" w:firstLineChars="200"/>
        <w:contextualSpacing/>
        <w:rPr>
          <w:rFonts w:ascii="宋体" w:hAnsi="宋体" w:cs="宋体"/>
          <w:szCs w:val="21"/>
        </w:rPr>
      </w:pPr>
      <w:r>
        <w:rPr>
          <w:rFonts w:hint="eastAsia" w:ascii="宋体" w:hAnsi="宋体" w:cs="宋体"/>
          <w:szCs w:val="21"/>
        </w:rPr>
        <w:t>4.不</w:t>
      </w:r>
      <w:r>
        <w:rPr>
          <w:rFonts w:hint="eastAsia" w:ascii="宋体" w:hAnsi="宋体" w:cs="宋体"/>
          <w:spacing w:val="-6"/>
          <w:szCs w:val="21"/>
        </w:rPr>
        <w:t>同供应商的响应文件异常一致或者响应报价呈规律性差异；</w:t>
      </w:r>
    </w:p>
    <w:p>
      <w:pPr>
        <w:spacing w:line="360" w:lineRule="auto"/>
        <w:ind w:firstLine="480" w:firstLineChars="200"/>
        <w:contextualSpacing/>
        <w:rPr>
          <w:rFonts w:ascii="宋体" w:hAnsi="宋体" w:cs="宋体"/>
          <w:szCs w:val="21"/>
        </w:rPr>
      </w:pPr>
      <w:r>
        <w:rPr>
          <w:rFonts w:hint="eastAsia" w:ascii="宋体" w:hAnsi="宋体" w:cs="宋体"/>
          <w:szCs w:val="21"/>
        </w:rPr>
        <w:t>5.不同供应商的响应文件相互混装；</w:t>
      </w:r>
    </w:p>
    <w:p>
      <w:pPr>
        <w:spacing w:line="360" w:lineRule="auto"/>
        <w:ind w:firstLine="480" w:firstLineChars="200"/>
        <w:contextualSpacing/>
        <w:rPr>
          <w:rFonts w:ascii="宋体" w:hAnsi="宋体" w:cs="宋体"/>
          <w:szCs w:val="21"/>
        </w:rPr>
      </w:pPr>
      <w:r>
        <w:rPr>
          <w:rFonts w:hint="eastAsia" w:ascii="宋体" w:hAnsi="宋体" w:cs="宋体"/>
          <w:szCs w:val="21"/>
        </w:rPr>
        <w:t>6.不同供应商的磋商保证金从同一单位或者个人账户转出。</w:t>
      </w:r>
    </w:p>
    <w:p>
      <w:pPr>
        <w:spacing w:line="360" w:lineRule="auto"/>
        <w:ind w:firstLine="482" w:firstLineChars="200"/>
        <w:contextualSpacing/>
        <w:rPr>
          <w:rFonts w:ascii="宋体" w:hAnsi="宋体" w:cs="宋体"/>
          <w:b/>
          <w:bCs/>
          <w:szCs w:val="21"/>
        </w:rPr>
      </w:pPr>
      <w:r>
        <w:rPr>
          <w:rFonts w:hint="eastAsia" w:ascii="宋体" w:hAnsi="宋体" w:cs="宋体"/>
          <w:b/>
          <w:bCs/>
          <w:szCs w:val="21"/>
        </w:rPr>
        <w:t>二、我方承诺无下列恶意串通的情形：</w:t>
      </w:r>
    </w:p>
    <w:p>
      <w:pPr>
        <w:spacing w:line="360" w:lineRule="auto"/>
        <w:ind w:firstLine="480" w:firstLineChars="200"/>
        <w:contextualSpacing/>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80" w:firstLineChars="200"/>
        <w:contextualSpacing/>
        <w:rPr>
          <w:rFonts w:ascii="宋体" w:hAnsi="宋体" w:cs="宋体"/>
          <w:szCs w:val="21"/>
        </w:rPr>
      </w:pPr>
      <w:r>
        <w:rPr>
          <w:rFonts w:hint="eastAsia" w:ascii="宋体" w:hAnsi="宋体" w:cs="宋体"/>
          <w:szCs w:val="21"/>
        </w:rPr>
        <w:t>3.供</w:t>
      </w:r>
      <w:r>
        <w:rPr>
          <w:rFonts w:hint="eastAsia" w:ascii="宋体" w:hAnsi="宋体" w:cs="宋体"/>
          <w:spacing w:val="-6"/>
          <w:szCs w:val="21"/>
        </w:rPr>
        <w:t>应商之间协商报价、技术方案等响应文件的实质性内容；</w:t>
      </w:r>
    </w:p>
    <w:p>
      <w:pPr>
        <w:spacing w:line="360" w:lineRule="auto"/>
        <w:ind w:firstLine="480" w:firstLineChars="200"/>
        <w:contextualSpacing/>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80" w:firstLineChars="200"/>
        <w:contextualSpacing/>
        <w:rPr>
          <w:rFonts w:ascii="宋体" w:hAnsi="宋体" w:cs="宋体"/>
          <w:szCs w:val="21"/>
        </w:rPr>
      </w:pPr>
      <w:r>
        <w:rPr>
          <w:rFonts w:hint="eastAsia" w:ascii="宋体" w:hAnsi="宋体" w:cs="宋体"/>
          <w:szCs w:val="21"/>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80" w:firstLineChars="200"/>
        <w:contextualSpacing/>
        <w:rPr>
          <w:rFonts w:ascii="宋体" w:hAnsi="宋体" w:cs="宋体"/>
          <w:szCs w:val="21"/>
        </w:rPr>
      </w:pPr>
      <w:r>
        <w:rPr>
          <w:rFonts w:hint="eastAsia" w:ascii="宋体" w:hAnsi="宋体" w:cs="宋体"/>
          <w:szCs w:val="21"/>
        </w:rPr>
        <w:t>7.供应商与采购人或者采购代理机构之间、供应商相互之间，为</w:t>
      </w:r>
      <w:r>
        <w:rPr>
          <w:rFonts w:hint="eastAsia" w:ascii="宋体" w:hAnsi="宋体" w:cs="宋体"/>
          <w:spacing w:val="-6"/>
          <w:szCs w:val="21"/>
        </w:rPr>
        <w:t>谋求特定供应商成交或者排斥其他供应商的其他串通行为。</w:t>
      </w:r>
    </w:p>
    <w:p>
      <w:pPr>
        <w:spacing w:line="360" w:lineRule="auto"/>
        <w:ind w:firstLine="480" w:firstLineChars="200"/>
        <w:contextualSpacing/>
        <w:rPr>
          <w:rFonts w:ascii="宋体" w:hAnsi="宋体" w:cs="宋体"/>
          <w:szCs w:val="21"/>
        </w:rPr>
      </w:pPr>
    </w:p>
    <w:p>
      <w:pPr>
        <w:spacing w:line="360" w:lineRule="auto"/>
        <w:ind w:firstLine="482" w:firstLineChars="200"/>
        <w:contextualSpacing/>
        <w:rPr>
          <w:rFonts w:ascii="宋体" w:hAnsi="宋体" w:cs="宋体"/>
          <w:b/>
          <w:bCs/>
          <w:szCs w:val="21"/>
        </w:rPr>
      </w:pPr>
      <w:r>
        <w:rPr>
          <w:rFonts w:hint="eastAsia" w:ascii="宋体" w:hAnsi="宋体" w:cs="宋体"/>
          <w:b/>
          <w:bCs/>
          <w:szCs w:val="21"/>
        </w:rPr>
        <w:t>以上情形一经核查属实，我方愿意承担一切后果，并不再寻求任何旨在减轻或者免除法律责任的辩解。</w:t>
      </w:r>
    </w:p>
    <w:p>
      <w:pPr>
        <w:autoSpaceDE w:val="0"/>
        <w:autoSpaceDN w:val="0"/>
        <w:spacing w:line="360" w:lineRule="auto"/>
        <w:ind w:left="4920" w:leftChars="2050" w:firstLine="240" w:firstLineChars="100"/>
        <w:rPr>
          <w:rFonts w:ascii="宋体" w:hAnsi="宋体" w:cs="宋体"/>
          <w:kern w:val="0"/>
          <w:szCs w:val="21"/>
        </w:rPr>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pacing w:line="360" w:lineRule="auto"/>
        <w:jc w:val="left"/>
        <w:rPr>
          <w:rFonts w:ascii="宋体" w:hAnsi="宋体" w:cs="宋体"/>
          <w:kern w:val="0"/>
          <w:szCs w:val="21"/>
          <w:lang w:val="zh-CN"/>
        </w:rPr>
      </w:pPr>
    </w:p>
    <w:p>
      <w:pPr>
        <w:spacing w:line="360" w:lineRule="auto"/>
        <w:jc w:val="left"/>
        <w:outlineLvl w:val="2"/>
        <w:rPr>
          <w:rFonts w:ascii="宋体" w:hAnsi="宋体" w:cs="宋体"/>
          <w:bCs/>
          <w:szCs w:val="21"/>
        </w:rPr>
      </w:pPr>
      <w:r>
        <w:rPr>
          <w:rFonts w:hint="eastAsia" w:ascii="宋体" w:hAnsi="宋体" w:cs="宋体"/>
          <w:b/>
          <w:bCs/>
          <w:szCs w:val="21"/>
        </w:rPr>
        <w:br w:type="page"/>
      </w:r>
      <w:bookmarkStart w:id="228" w:name="_Toc27833"/>
      <w:bookmarkStart w:id="229" w:name="_Toc22935"/>
      <w:bookmarkStart w:id="230" w:name="_Toc7786"/>
      <w:bookmarkStart w:id="231" w:name="_Toc24195"/>
      <w:bookmarkStart w:id="232" w:name="_Toc21736"/>
      <w:bookmarkStart w:id="233" w:name="_Toc9653"/>
      <w:bookmarkStart w:id="234" w:name="_Toc25405"/>
      <w:bookmarkStart w:id="235" w:name="_Toc31367"/>
      <w:bookmarkStart w:id="236" w:name="_Toc31513"/>
      <w:bookmarkStart w:id="237" w:name="_Toc5881"/>
      <w:r>
        <w:rPr>
          <w:rFonts w:hint="eastAsia" w:ascii="宋体" w:hAnsi="宋体" w:cs="宋体"/>
          <w:b/>
          <w:bCs/>
          <w:szCs w:val="21"/>
        </w:rPr>
        <w:t>四</w:t>
      </w:r>
      <w:r>
        <w:rPr>
          <w:rFonts w:hint="eastAsia" w:ascii="宋体" w:hAnsi="宋体" w:cs="宋体"/>
          <w:b/>
          <w:szCs w:val="21"/>
        </w:rPr>
        <w:t>、法定代表人（负责人/自然人）身份证明及法定代表人有效身份证正反面复印件</w:t>
      </w:r>
      <w:bookmarkEnd w:id="228"/>
      <w:bookmarkEnd w:id="229"/>
      <w:bookmarkEnd w:id="230"/>
      <w:bookmarkEnd w:id="231"/>
      <w:bookmarkEnd w:id="232"/>
      <w:bookmarkEnd w:id="233"/>
      <w:bookmarkEnd w:id="234"/>
      <w:bookmarkEnd w:id="235"/>
      <w:bookmarkEnd w:id="236"/>
      <w:bookmarkEnd w:id="237"/>
    </w:p>
    <w:p>
      <w:pPr>
        <w:spacing w:line="360" w:lineRule="auto"/>
        <w:jc w:val="center"/>
        <w:rPr>
          <w:rFonts w:ascii="宋体" w:hAnsi="宋体" w:cs="宋体"/>
          <w:bCs/>
          <w:szCs w:val="21"/>
        </w:rPr>
      </w:pPr>
    </w:p>
    <w:p>
      <w:pPr>
        <w:spacing w:line="360" w:lineRule="auto"/>
        <w:jc w:val="center"/>
        <w:rPr>
          <w:rFonts w:ascii="宋体" w:hAnsi="宋体" w:cs="宋体"/>
          <w:b/>
          <w:sz w:val="28"/>
          <w:szCs w:val="28"/>
        </w:rPr>
      </w:pPr>
      <w:bookmarkStart w:id="238" w:name="_Hlk135305202"/>
      <w:r>
        <w:rPr>
          <w:rFonts w:hint="eastAsia" w:ascii="宋体" w:hAnsi="宋体" w:cs="宋体"/>
          <w:b/>
          <w:sz w:val="28"/>
          <w:szCs w:val="28"/>
        </w:rPr>
        <w:t>法定代表人（负责人/自然人）</w:t>
      </w:r>
      <w:bookmarkEnd w:id="238"/>
      <w:r>
        <w:rPr>
          <w:rFonts w:hint="eastAsia" w:ascii="宋体" w:hAnsi="宋体" w:cs="宋体"/>
          <w:b/>
          <w:sz w:val="28"/>
          <w:szCs w:val="28"/>
        </w:rPr>
        <w:t>证明书</w:t>
      </w:r>
    </w:p>
    <w:p>
      <w:pPr>
        <w:pStyle w:val="15"/>
        <w:jc w:val="center"/>
        <w:rPr>
          <w:rFonts w:hAnsi="宋体" w:cs="宋体"/>
          <w:b/>
          <w:szCs w:val="24"/>
        </w:rPr>
      </w:pPr>
      <w:r>
        <w:rPr>
          <w:rFonts w:hint="eastAsia" w:hAnsi="宋体" w:cs="宋体"/>
          <w:b/>
          <w:szCs w:val="24"/>
        </w:rPr>
        <w:t>（联合体</w:t>
      </w:r>
      <w:r>
        <w:rPr>
          <w:rFonts w:hint="eastAsia" w:hAnsi="宋体" w:cs="宋体"/>
          <w:b/>
          <w:szCs w:val="24"/>
          <w:lang w:val="en-US" w:eastAsia="zh-CN"/>
        </w:rPr>
        <w:t>竞</w:t>
      </w:r>
      <w:r>
        <w:rPr>
          <w:rFonts w:hint="eastAsia" w:hAnsi="宋体" w:cs="宋体"/>
          <w:b/>
          <w:szCs w:val="24"/>
        </w:rPr>
        <w:t>标的，由牵头方提供）</w:t>
      </w:r>
    </w:p>
    <w:p>
      <w:pPr>
        <w:pStyle w:val="20"/>
        <w:ind w:left="0" w:leftChars="0"/>
        <w:rPr>
          <w:rFonts w:ascii="宋体" w:hAnsi="宋体" w:cs="宋体"/>
          <w:szCs w:val="21"/>
        </w:rPr>
      </w:pPr>
    </w:p>
    <w:p>
      <w:pPr>
        <w:spacing w:line="360" w:lineRule="auto"/>
        <w:ind w:left="540"/>
        <w:contextualSpacing/>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spacing w:line="360" w:lineRule="auto"/>
        <w:ind w:left="540"/>
        <w:contextualSpacing/>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ind w:left="540"/>
        <w:contextualSpacing/>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pPr>
        <w:spacing w:line="360" w:lineRule="auto"/>
        <w:ind w:left="540"/>
        <w:contextualSpacing/>
        <w:rPr>
          <w:rFonts w:ascii="宋体" w:hAnsi="宋体" w:cs="宋体"/>
          <w:szCs w:val="21"/>
          <w:u w:val="single"/>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pPr>
        <w:spacing w:line="360" w:lineRule="auto"/>
        <w:ind w:left="540"/>
        <w:contextualSpacing/>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480" w:firstLineChars="200"/>
        <w:contextualSpacing/>
        <w:rPr>
          <w:rFonts w:ascii="宋体" w:hAnsi="宋体" w:cs="宋体"/>
          <w:szCs w:val="21"/>
        </w:rPr>
      </w:pPr>
      <w:r>
        <w:rPr>
          <w:rFonts w:hint="eastAsia" w:ascii="宋体" w:hAnsi="宋体" w:cs="宋体"/>
          <w:szCs w:val="21"/>
        </w:rPr>
        <w:t>系</w:t>
      </w:r>
      <w:r>
        <w:rPr>
          <w:rFonts w:hint="eastAsia" w:ascii="宋体" w:hAnsi="宋体" w:cs="宋体"/>
          <w:szCs w:val="21"/>
          <w:u w:val="single"/>
        </w:rPr>
        <w:t>（供应商名称）</w:t>
      </w:r>
      <w:r>
        <w:rPr>
          <w:rFonts w:hint="eastAsia" w:ascii="宋体" w:hAnsi="宋体" w:cs="宋体"/>
          <w:szCs w:val="21"/>
          <w:u w:val="single"/>
          <w:lang w:val="en-US" w:eastAsia="zh-CN"/>
        </w:rPr>
        <w:t xml:space="preserve">  </w:t>
      </w:r>
      <w:r>
        <w:rPr>
          <w:rFonts w:hint="eastAsia" w:ascii="宋体" w:hAnsi="宋体" w:cs="宋体"/>
          <w:szCs w:val="21"/>
        </w:rPr>
        <w:t>的法定代表人（负责人/自然人）。</w:t>
      </w:r>
    </w:p>
    <w:p>
      <w:pPr>
        <w:spacing w:line="360" w:lineRule="auto"/>
        <w:ind w:left="540"/>
        <w:contextualSpacing/>
        <w:rPr>
          <w:rFonts w:ascii="宋体" w:hAnsi="宋体" w:cs="宋体"/>
          <w:szCs w:val="21"/>
        </w:rPr>
      </w:pPr>
      <w:r>
        <w:rPr>
          <w:rFonts w:hint="eastAsia" w:ascii="宋体" w:hAnsi="宋体" w:cs="宋体"/>
          <w:szCs w:val="21"/>
        </w:rPr>
        <w:t>特此证明。</w:t>
      </w:r>
    </w:p>
    <w:p>
      <w:pPr>
        <w:spacing w:line="360" w:lineRule="auto"/>
        <w:ind w:left="540"/>
        <w:contextualSpacing/>
        <w:rPr>
          <w:rFonts w:ascii="宋体" w:hAnsi="宋体" w:cs="宋体"/>
          <w:szCs w:val="21"/>
        </w:rPr>
      </w:pPr>
    </w:p>
    <w:p>
      <w:pPr>
        <w:spacing w:line="360" w:lineRule="auto"/>
        <w:ind w:left="540"/>
        <w:contextualSpacing/>
        <w:rPr>
          <w:rFonts w:ascii="宋体" w:hAnsi="宋体" w:cs="宋体"/>
          <w:szCs w:val="21"/>
        </w:rPr>
      </w:pPr>
      <w:r>
        <w:rPr>
          <w:rFonts w:hint="eastAsia" w:ascii="宋体" w:hAnsi="宋体" w:cs="宋体"/>
          <w:szCs w:val="21"/>
        </w:rPr>
        <w:t>附件：法定代表人（负责人/自然人）有效身份证正反面复印件</w:t>
      </w:r>
    </w:p>
    <w:p>
      <w:pPr>
        <w:spacing w:line="360" w:lineRule="auto"/>
        <w:ind w:left="540"/>
        <w:contextualSpacing/>
        <w:rPr>
          <w:rFonts w:ascii="宋体" w:hAnsi="宋体" w:cs="宋体"/>
          <w:szCs w:val="21"/>
        </w:rPr>
      </w:pPr>
    </w:p>
    <w:p>
      <w:pPr>
        <w:pStyle w:val="14"/>
        <w:rPr>
          <w:rFonts w:ascii="宋体" w:hAnsi="宋体" w:cs="宋体"/>
          <w:szCs w:val="21"/>
        </w:rPr>
      </w:pPr>
    </w:p>
    <w:p>
      <w:pPr>
        <w:rPr>
          <w:rFonts w:ascii="宋体" w:hAnsi="宋体" w:cs="宋体"/>
          <w:szCs w:val="21"/>
        </w:rPr>
      </w:pPr>
    </w:p>
    <w:p>
      <w:pPr>
        <w:pStyle w:val="14"/>
        <w:rPr>
          <w:rFonts w:ascii="宋体" w:hAnsi="宋体" w:cs="宋体"/>
          <w:szCs w:val="21"/>
        </w:rPr>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供应商名称(牵头方全称并加盖CA电子签章)：</w:t>
      </w:r>
      <w:r>
        <w:rPr>
          <w:rFonts w:hint="eastAsia" w:ascii="宋体" w:hAnsi="宋体" w:cs="宋体"/>
          <w:kern w:val="0"/>
          <w:szCs w:val="21"/>
          <w:u w:val="single"/>
        </w:rPr>
        <w:t xml:space="preserve">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pacing w:line="360" w:lineRule="auto"/>
        <w:contextualSpacing/>
        <w:jc w:val="left"/>
        <w:rPr>
          <w:rFonts w:ascii="宋体" w:hAnsi="宋体" w:cs="宋体"/>
          <w:szCs w:val="21"/>
        </w:rPr>
      </w:pPr>
    </w:p>
    <w:p>
      <w:pPr>
        <w:spacing w:line="360" w:lineRule="auto"/>
        <w:contextualSpacing/>
        <w:jc w:val="left"/>
        <w:rPr>
          <w:rFonts w:ascii="宋体" w:hAnsi="宋体" w:cs="宋体"/>
          <w:szCs w:val="21"/>
        </w:rPr>
        <w:sectPr>
          <w:pgSz w:w="11910" w:h="16840"/>
          <w:pgMar w:top="1440" w:right="1080" w:bottom="1440" w:left="1080" w:header="720" w:footer="720" w:gutter="0"/>
          <w:cols w:space="720" w:num="1"/>
        </w:sectPr>
      </w:pPr>
      <w:r>
        <w:rPr>
          <w:rFonts w:hint="eastAsia" w:ascii="宋体" w:hAnsi="宋体" w:cs="宋体"/>
          <w:szCs w:val="21"/>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jc w:val="left"/>
        <w:outlineLvl w:val="2"/>
        <w:rPr>
          <w:rFonts w:ascii="宋体" w:hAnsi="宋体" w:cs="宋体"/>
          <w:bCs/>
          <w:szCs w:val="21"/>
        </w:rPr>
      </w:pPr>
      <w:bookmarkStart w:id="239" w:name="_Toc16588"/>
      <w:bookmarkStart w:id="240" w:name="_Toc14477"/>
      <w:bookmarkStart w:id="241" w:name="_Toc1274"/>
      <w:bookmarkStart w:id="242" w:name="_Toc16372"/>
      <w:bookmarkStart w:id="243" w:name="_Toc7024"/>
      <w:bookmarkStart w:id="244" w:name="_Toc22891"/>
      <w:bookmarkStart w:id="245" w:name="_Toc29146"/>
      <w:bookmarkStart w:id="246" w:name="_Toc3782"/>
      <w:bookmarkStart w:id="247" w:name="_Toc6268"/>
      <w:bookmarkStart w:id="248" w:name="_Toc663"/>
      <w:r>
        <w:rPr>
          <w:rFonts w:hint="eastAsia" w:ascii="宋体" w:hAnsi="宋体" w:cs="宋体"/>
          <w:b/>
          <w:szCs w:val="21"/>
        </w:rPr>
        <w:t>五、法定代表人（负责人/自然人）授权委托书</w:t>
      </w:r>
      <w:bookmarkEnd w:id="239"/>
      <w:bookmarkEnd w:id="240"/>
      <w:bookmarkEnd w:id="241"/>
      <w:bookmarkEnd w:id="242"/>
      <w:bookmarkEnd w:id="243"/>
      <w:bookmarkEnd w:id="244"/>
      <w:bookmarkEnd w:id="245"/>
      <w:bookmarkEnd w:id="246"/>
      <w:bookmarkEnd w:id="247"/>
      <w:bookmarkEnd w:id="248"/>
    </w:p>
    <w:p>
      <w:pPr>
        <w:spacing w:line="360" w:lineRule="auto"/>
        <w:jc w:val="center"/>
        <w:rPr>
          <w:rFonts w:ascii="宋体" w:hAnsi="宋体" w:cs="宋体"/>
          <w:szCs w:val="21"/>
        </w:rPr>
      </w:pPr>
    </w:p>
    <w:p>
      <w:pPr>
        <w:spacing w:line="360" w:lineRule="auto"/>
        <w:jc w:val="center"/>
        <w:rPr>
          <w:rFonts w:ascii="宋体" w:hAnsi="宋体" w:cs="宋体"/>
          <w:b/>
          <w:bCs/>
          <w:sz w:val="28"/>
          <w:szCs w:val="28"/>
        </w:rPr>
      </w:pPr>
      <w:r>
        <w:rPr>
          <w:rFonts w:hint="eastAsia" w:ascii="宋体" w:hAnsi="宋体" w:cs="宋体"/>
          <w:b/>
          <w:bCs/>
          <w:sz w:val="28"/>
          <w:szCs w:val="28"/>
        </w:rPr>
        <w:t>授权委托书</w:t>
      </w:r>
    </w:p>
    <w:p>
      <w:pPr>
        <w:pStyle w:val="15"/>
        <w:jc w:val="center"/>
        <w:rPr>
          <w:rFonts w:hAnsi="宋体" w:cs="宋体"/>
          <w:b/>
          <w:szCs w:val="24"/>
        </w:rPr>
      </w:pPr>
      <w:r>
        <w:rPr>
          <w:rFonts w:hint="eastAsia" w:hAnsi="宋体" w:cs="宋体"/>
          <w:b/>
          <w:szCs w:val="24"/>
        </w:rPr>
        <w:t>（联合体</w:t>
      </w:r>
      <w:r>
        <w:rPr>
          <w:rFonts w:hint="eastAsia" w:hAnsi="宋体" w:cs="宋体"/>
          <w:b/>
          <w:szCs w:val="24"/>
          <w:lang w:val="en-US" w:eastAsia="zh-CN"/>
        </w:rPr>
        <w:t>竞</w:t>
      </w:r>
      <w:r>
        <w:rPr>
          <w:rFonts w:hint="eastAsia" w:hAnsi="宋体" w:cs="宋体"/>
          <w:b/>
          <w:szCs w:val="24"/>
        </w:rPr>
        <w:t>标的，由牵头方提供）</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致：</w:t>
      </w:r>
      <w:r>
        <w:rPr>
          <w:rFonts w:hint="eastAsia" w:ascii="宋体" w:hAnsi="宋体" w:eastAsia="宋体" w:cs="宋体"/>
          <w:spacing w:val="6"/>
          <w:sz w:val="24"/>
          <w:szCs w:val="24"/>
          <w:u w:val="single"/>
          <w:lang w:eastAsia="zh-CN"/>
        </w:rPr>
        <w:t>（代理机构名称）</w:t>
      </w:r>
      <w:r>
        <w:rPr>
          <w:rFonts w:hint="eastAsia" w:ascii="宋体" w:hAnsi="宋体" w:cs="宋体"/>
          <w:spacing w:val="6"/>
          <w:sz w:val="24"/>
          <w:szCs w:val="24"/>
          <w:u w:val="single"/>
          <w:lang w:val="en-US" w:eastAsia="zh-CN"/>
        </w:rPr>
        <w:t xml:space="preserve">      </w:t>
      </w:r>
      <w:r>
        <w:rPr>
          <w:rFonts w:hint="eastAsia" w:ascii="宋体" w:hAnsi="宋体" w:cs="宋体"/>
          <w:szCs w:val="21"/>
        </w:rPr>
        <w:t>：</w:t>
      </w:r>
    </w:p>
    <w:p>
      <w:pPr>
        <w:spacing w:line="360" w:lineRule="auto"/>
        <w:ind w:firstLine="48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（姓名）  </w:t>
      </w:r>
      <w:r>
        <w:rPr>
          <w:rFonts w:hint="eastAsia" w:ascii="宋体" w:hAnsi="宋体" w:cs="宋体"/>
          <w:szCs w:val="21"/>
        </w:rPr>
        <w:t>系</w:t>
      </w:r>
      <w:r>
        <w:rPr>
          <w:rFonts w:hint="eastAsia" w:ascii="宋体" w:hAnsi="宋体" w:cs="宋体"/>
          <w:szCs w:val="21"/>
          <w:u w:val="single"/>
        </w:rPr>
        <w:t xml:space="preserve">  （供应商名称）  </w:t>
      </w:r>
      <w:r>
        <w:rPr>
          <w:rFonts w:hint="eastAsia" w:ascii="宋体" w:hAnsi="宋体" w:cs="宋体"/>
          <w:szCs w:val="21"/>
        </w:rPr>
        <w:t>的（</w:t>
      </w:r>
      <w:r>
        <w:rPr>
          <w:rFonts w:hint="eastAsia" w:ascii="宋体" w:hAnsi="宋体" w:cs="宋体"/>
          <w:szCs w:val="21"/>
          <w:u w:val="single"/>
        </w:rPr>
        <w:t>□法定代表人/□负责人/□自然人本人</w:t>
      </w:r>
      <w:r>
        <w:rPr>
          <w:rFonts w:hint="eastAsia" w:ascii="宋体" w:hAnsi="宋体" w:cs="宋体"/>
          <w:szCs w:val="21"/>
        </w:rPr>
        <w:t>），现授权</w:t>
      </w:r>
      <w:r>
        <w:rPr>
          <w:rFonts w:hint="eastAsia" w:ascii="宋体" w:hAnsi="宋体" w:cs="宋体"/>
          <w:szCs w:val="21"/>
          <w:u w:val="single"/>
        </w:rPr>
        <w:t xml:space="preserve"> （姓名） </w:t>
      </w:r>
      <w:r>
        <w:rPr>
          <w:rFonts w:hint="eastAsia" w:ascii="宋体" w:hAnsi="宋体" w:cs="宋体"/>
          <w:szCs w:val="21"/>
        </w:rPr>
        <w:t>以我方的名义参加</w:t>
      </w:r>
      <w:r>
        <w:rPr>
          <w:rFonts w:hint="eastAsia" w:ascii="宋体" w:hAnsi="宋体" w:cs="宋体"/>
          <w:szCs w:val="21"/>
          <w:u w:val="single"/>
          <w:lang w:val="en-US" w:eastAsia="zh-CN"/>
        </w:rPr>
        <w:t xml:space="preserve">     </w:t>
      </w:r>
      <w:r>
        <w:rPr>
          <w:rFonts w:hint="eastAsia" w:ascii="宋体" w:hAnsi="宋体" w:eastAsia="宋体" w:cs="宋体"/>
          <w:szCs w:val="21"/>
          <w:u w:val="single"/>
        </w:rPr>
        <w:t>(项目名称)</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项目的竞标活动，并代表我方全权办理针对上述项目的所有采购程序和环节的具体事务和签署相关文件。</w:t>
      </w:r>
    </w:p>
    <w:p>
      <w:pPr>
        <w:spacing w:line="360" w:lineRule="auto"/>
        <w:rPr>
          <w:rFonts w:ascii="宋体" w:hAnsi="宋体" w:cs="宋体"/>
          <w:szCs w:val="21"/>
        </w:rPr>
      </w:pPr>
      <w:r>
        <w:rPr>
          <w:rFonts w:hint="eastAsia" w:ascii="宋体" w:hAnsi="宋体" w:cs="宋体"/>
          <w:szCs w:val="21"/>
        </w:rPr>
        <w:t xml:space="preserve">    我方对委托代理人的签字事项负全部责任。</w:t>
      </w:r>
    </w:p>
    <w:p>
      <w:pPr>
        <w:spacing w:line="360" w:lineRule="auto"/>
        <w:ind w:firstLine="480" w:firstLineChars="200"/>
        <w:rPr>
          <w:rFonts w:ascii="宋体" w:hAnsi="宋体" w:cs="宋体"/>
          <w:szCs w:val="21"/>
        </w:rPr>
      </w:pPr>
      <w:r>
        <w:rPr>
          <w:rFonts w:hint="eastAsia" w:ascii="宋体" w:hAnsi="宋体" w:cs="宋体"/>
          <w:szCs w:val="21"/>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szCs w:val="21"/>
        </w:rPr>
      </w:pPr>
      <w:r>
        <w:rPr>
          <w:rFonts w:hint="eastAsia" w:ascii="宋体" w:hAnsi="宋体" w:cs="宋体"/>
          <w:szCs w:val="21"/>
        </w:rPr>
        <w:t>委托代理人无转委托权，特此委托。</w:t>
      </w:r>
    </w:p>
    <w:p>
      <w:pPr>
        <w:spacing w:line="360" w:lineRule="auto"/>
        <w:ind w:firstLine="482" w:firstLineChars="200"/>
        <w:rPr>
          <w:rFonts w:ascii="宋体" w:hAnsi="宋体" w:cs="宋体"/>
          <w:b/>
          <w:bCs/>
          <w:szCs w:val="21"/>
        </w:rPr>
      </w:pPr>
      <w:r>
        <w:rPr>
          <w:rFonts w:hint="eastAsia" w:ascii="宋体" w:hAnsi="宋体" w:cs="宋体"/>
          <w:b/>
          <w:bCs/>
          <w:szCs w:val="21"/>
        </w:rPr>
        <w:t>附：法定代表人（负责人/自然人）有效身份证正反面复印件及委托代理人有效身份证正反面复印件</w:t>
      </w:r>
    </w:p>
    <w:p>
      <w:pPr>
        <w:spacing w:line="360" w:lineRule="auto"/>
        <w:rPr>
          <w:rFonts w:ascii="宋体" w:hAnsi="宋体" w:cs="宋体"/>
          <w:szCs w:val="21"/>
        </w:rPr>
      </w:pPr>
    </w:p>
    <w:p>
      <w:pPr>
        <w:spacing w:line="360" w:lineRule="auto"/>
        <w:rPr>
          <w:rFonts w:hint="eastAsia" w:ascii="宋体" w:hAnsi="宋体" w:cs="宋体"/>
          <w:szCs w:val="21"/>
        </w:rPr>
      </w:pPr>
      <w:r>
        <w:rPr>
          <w:rFonts w:hint="eastAsia" w:ascii="宋体" w:hAnsi="宋体" w:cs="宋体"/>
          <w:szCs w:val="21"/>
        </w:rPr>
        <w:t>法定代表人（负责人/自然人）（签字或加盖CA电子签字章）：</w:t>
      </w:r>
    </w:p>
    <w:p>
      <w:pPr>
        <w:spacing w:line="360" w:lineRule="auto"/>
        <w:rPr>
          <w:rFonts w:ascii="宋体" w:hAnsi="宋体" w:cs="宋体"/>
          <w:szCs w:val="21"/>
        </w:rPr>
      </w:pPr>
      <w:r>
        <w:rPr>
          <w:rFonts w:hint="eastAsia" w:ascii="宋体" w:hAnsi="宋体" w:cs="宋体"/>
          <w:szCs w:val="21"/>
        </w:rPr>
        <w:t xml:space="preserve">委托代理人（签字）：                       </w:t>
      </w:r>
    </w:p>
    <w:p>
      <w:pPr>
        <w:spacing w:line="360" w:lineRule="auto"/>
        <w:rPr>
          <w:rFonts w:ascii="宋体" w:hAnsi="宋体" w:cs="宋体"/>
          <w:szCs w:val="21"/>
        </w:rPr>
      </w:pPr>
      <w:r>
        <w:rPr>
          <w:rFonts w:hint="eastAsia" w:ascii="宋体" w:hAnsi="宋体" w:cs="宋体"/>
          <w:szCs w:val="21"/>
        </w:rPr>
        <w:t xml:space="preserve">委托代理人身份证号码：                              </w:t>
      </w:r>
    </w:p>
    <w:p>
      <w:pPr>
        <w:spacing w:line="360" w:lineRule="auto"/>
        <w:rPr>
          <w:rFonts w:ascii="宋体" w:hAnsi="宋体" w:cs="宋体"/>
          <w:szCs w:val="21"/>
        </w:rPr>
      </w:pPr>
      <w:r>
        <w:rPr>
          <w:rFonts w:hint="eastAsia" w:ascii="宋体" w:hAnsi="宋体" w:cs="宋体"/>
          <w:szCs w:val="21"/>
        </w:rPr>
        <w:t xml:space="preserve">                                </w:t>
      </w:r>
    </w:p>
    <w:p>
      <w:pPr>
        <w:wordWrap w:val="0"/>
        <w:snapToGrid w:val="0"/>
        <w:spacing w:line="360" w:lineRule="auto"/>
        <w:jc w:val="right"/>
        <w:rPr>
          <w:rFonts w:ascii="宋体" w:hAnsi="宋体" w:cs="宋体"/>
          <w:kern w:val="0"/>
          <w:szCs w:val="21"/>
          <w:u w:val="single"/>
        </w:rPr>
      </w:pPr>
      <w:r>
        <w:rPr>
          <w:rFonts w:hint="eastAsia" w:ascii="宋体" w:hAnsi="宋体" w:cs="宋体"/>
          <w:szCs w:val="21"/>
        </w:rPr>
        <w:t xml:space="preserve">               </w:t>
      </w:r>
      <w:r>
        <w:rPr>
          <w:rFonts w:hint="eastAsia" w:ascii="宋体" w:hAnsi="宋体" w:cs="宋体"/>
          <w:kern w:val="0"/>
          <w:szCs w:val="21"/>
          <w:lang w:val="zh-CN"/>
        </w:rPr>
        <w:t>供应商名称(牵头方全称并加盖CA电子签章)：</w:t>
      </w:r>
      <w:r>
        <w:rPr>
          <w:rFonts w:hint="eastAsia" w:ascii="宋体" w:hAnsi="宋体" w:cs="宋体"/>
          <w:kern w:val="0"/>
          <w:szCs w:val="21"/>
          <w:u w:val="single"/>
        </w:rPr>
        <w:t xml:space="preserve">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pacing w:line="360" w:lineRule="auto"/>
        <w:contextualSpacing/>
        <w:jc w:val="center"/>
        <w:rPr>
          <w:rFonts w:ascii="宋体" w:hAnsi="宋体" w:cs="宋体"/>
          <w:szCs w:val="21"/>
        </w:rPr>
      </w:pPr>
    </w:p>
    <w:p>
      <w:pPr>
        <w:spacing w:line="360" w:lineRule="auto"/>
        <w:rPr>
          <w:rFonts w:ascii="宋体" w:hAnsi="宋体" w:cs="宋体"/>
          <w:szCs w:val="21"/>
        </w:rPr>
      </w:pPr>
      <w:r>
        <w:rPr>
          <w:rFonts w:hint="eastAsia" w:ascii="宋体" w:hAnsi="宋体" w:cs="宋体"/>
          <w:szCs w:val="21"/>
        </w:rPr>
        <w:t>注：1. 法定代表人必须在授权委托书上亲笔签字或盖章，委托代理人必须在授权委托书上亲笔签字，</w:t>
      </w:r>
      <w:r>
        <w:rPr>
          <w:rFonts w:hint="eastAsia" w:ascii="宋体" w:hAnsi="宋体" w:cs="宋体"/>
          <w:b/>
          <w:szCs w:val="21"/>
        </w:rPr>
        <w:t>否则其响应文件按无效响应处理。</w:t>
      </w:r>
    </w:p>
    <w:p>
      <w:pPr>
        <w:spacing w:line="360" w:lineRule="auto"/>
        <w:ind w:firstLine="480" w:firstLineChars="200"/>
        <w:jc w:val="left"/>
        <w:rPr>
          <w:rFonts w:ascii="宋体" w:hAnsi="宋体" w:cs="宋体"/>
          <w:szCs w:val="21"/>
        </w:r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szCs w:val="21"/>
        </w:rPr>
      </w:pPr>
      <w:r>
        <w:rPr>
          <w:rFonts w:hint="eastAsia" w:ascii="宋体" w:hAnsi="宋体" w:cs="宋体"/>
          <w:szCs w:val="21"/>
        </w:rPr>
        <w:t>3. 法人、其他组织竞标时“我方”是指“我单位”，自然人竞标时“我方”是指“本人”。</w:t>
      </w:r>
    </w:p>
    <w:p>
      <w:pPr>
        <w:pStyle w:val="15"/>
        <w:spacing w:line="360" w:lineRule="auto"/>
        <w:outlineLvl w:val="2"/>
        <w:rPr>
          <w:rFonts w:hAnsi="宋体" w:cs="宋体"/>
          <w:b/>
          <w:szCs w:val="21"/>
        </w:rPr>
      </w:pPr>
      <w:r>
        <w:rPr>
          <w:rFonts w:hint="eastAsia" w:hAnsi="宋体" w:cs="宋体"/>
          <w:b/>
          <w:szCs w:val="21"/>
        </w:rPr>
        <w:br w:type="page"/>
      </w:r>
      <w:bookmarkStart w:id="249" w:name="_Toc8449"/>
      <w:bookmarkStart w:id="250" w:name="_Toc24927"/>
      <w:bookmarkStart w:id="251" w:name="_Toc30352"/>
      <w:bookmarkStart w:id="252" w:name="_Toc6150"/>
      <w:bookmarkStart w:id="253" w:name="_Toc14401"/>
      <w:bookmarkStart w:id="254" w:name="_Toc8787"/>
      <w:bookmarkStart w:id="255" w:name="_Toc2773"/>
      <w:bookmarkStart w:id="256" w:name="_Toc12519"/>
      <w:bookmarkStart w:id="257" w:name="_Toc9054"/>
      <w:bookmarkStart w:id="258" w:name="_Toc31076"/>
      <w:r>
        <w:rPr>
          <w:rFonts w:hint="eastAsia" w:hAnsi="宋体" w:cs="宋体"/>
          <w:b/>
          <w:szCs w:val="21"/>
        </w:rPr>
        <w:t>六、磋商保证金证明</w:t>
      </w:r>
      <w:bookmarkEnd w:id="249"/>
      <w:bookmarkEnd w:id="250"/>
      <w:bookmarkEnd w:id="251"/>
      <w:bookmarkEnd w:id="252"/>
      <w:bookmarkEnd w:id="253"/>
      <w:bookmarkEnd w:id="254"/>
      <w:bookmarkEnd w:id="255"/>
      <w:bookmarkEnd w:id="256"/>
      <w:bookmarkEnd w:id="257"/>
      <w:bookmarkEnd w:id="258"/>
    </w:p>
    <w:p>
      <w:pPr>
        <w:spacing w:line="360" w:lineRule="auto"/>
        <w:rPr>
          <w:rFonts w:ascii="宋体" w:hAnsi="宋体" w:cs="宋体"/>
          <w:szCs w:val="21"/>
        </w:rPr>
      </w:pPr>
    </w:p>
    <w:p>
      <w:pPr>
        <w:autoSpaceDE w:val="0"/>
        <w:autoSpaceDN w:val="0"/>
        <w:spacing w:line="360" w:lineRule="auto"/>
        <w:ind w:left="4920" w:leftChars="1850" w:hanging="480" w:hangingChars="200"/>
        <w:rPr>
          <w:rFonts w:ascii="宋体" w:hAnsi="宋体" w:cs="宋体"/>
          <w:kern w:val="0"/>
          <w:szCs w:val="21"/>
        </w:rPr>
      </w:pP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25400</wp:posOffset>
                </wp:positionV>
                <wp:extent cx="5039995" cy="2127885"/>
                <wp:effectExtent l="5080" t="5080" r="22225" b="19685"/>
                <wp:wrapNone/>
                <wp:docPr id="128754584" name="Rectangle 5"/>
                <wp:cNvGraphicFramePr/>
                <a:graphic xmlns:a="http://schemas.openxmlformats.org/drawingml/2006/main">
                  <a:graphicData uri="http://schemas.microsoft.com/office/word/2010/wordprocessingShape">
                    <wps:wsp>
                      <wps:cNvSpPr>
                        <a:spLocks noChangeArrowheads="1"/>
                      </wps:cNvSpPr>
                      <wps:spPr bwMode="auto">
                        <a:xfrm>
                          <a:off x="0" y="0"/>
                          <a:ext cx="5039995" cy="2127885"/>
                        </a:xfrm>
                        <a:prstGeom prst="rect">
                          <a:avLst/>
                        </a:prstGeom>
                        <a:solidFill>
                          <a:srgbClr val="FFFFFF"/>
                        </a:solidFill>
                        <a:ln w="9525">
                          <a:solidFill>
                            <a:srgbClr val="000000"/>
                          </a:solidFill>
                          <a:miter lim="800000"/>
                        </a:ln>
                      </wps:spPr>
                      <wps:txbx>
                        <w:txbxContent>
                          <w:p>
                            <w:pPr>
                              <w:jc w:val="right"/>
                              <w:rPr>
                                <w:color w:val="000000"/>
                              </w:rPr>
                            </w:pPr>
                          </w:p>
                          <w:p>
                            <w:pPr>
                              <w:jc w:val="right"/>
                              <w:rPr>
                                <w:color w:val="000000"/>
                              </w:rPr>
                            </w:pPr>
                          </w:p>
                          <w:p>
                            <w:pPr>
                              <w:jc w:val="right"/>
                              <w:rPr>
                                <w:color w:val="000000"/>
                              </w:rPr>
                            </w:pPr>
                          </w:p>
                          <w:p>
                            <w:pPr>
                              <w:jc w:val="right"/>
                              <w:rPr>
                                <w:color w:val="000000"/>
                              </w:rPr>
                            </w:pPr>
                          </w:p>
                          <w:p>
                            <w:pPr>
                              <w:jc w:val="right"/>
                              <w:rPr>
                                <w:color w:val="000000"/>
                              </w:rPr>
                            </w:pPr>
                          </w:p>
                          <w:p>
                            <w:pPr>
                              <w:jc w:val="right"/>
                              <w:rPr>
                                <w:color w:val="000000"/>
                              </w:rPr>
                            </w:pPr>
                          </w:p>
                          <w:p>
                            <w:pPr>
                              <w:jc w:val="center"/>
                              <w:rPr>
                                <w:rFonts w:ascii="宋体" w:hAnsi="宋体" w:cs="宋体"/>
                                <w:szCs w:val="21"/>
                              </w:rPr>
                            </w:pPr>
                            <w:r>
                              <w:rPr>
                                <w:rFonts w:hint="eastAsia" w:ascii="宋体" w:hAnsi="宋体" w:cs="宋体"/>
                                <w:color w:val="000000"/>
                                <w:szCs w:val="21"/>
                              </w:rPr>
                              <w:t>进账单或电汇凭证</w:t>
                            </w:r>
                            <w:r>
                              <w:rPr>
                                <w:rFonts w:hint="eastAsia" w:ascii="宋体" w:hAnsi="宋体" w:cs="宋体"/>
                                <w:szCs w:val="21"/>
                              </w:rPr>
                              <w:t>复印件</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4.4pt;margin-top:2pt;height:167.55pt;width:396.85pt;z-index:251660288;mso-width-relative:page;mso-height-relative:page;" fillcolor="#FFFFFF" filled="t" stroked="t" coordsize="21600,21600" o:gfxdata="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c+ue1wAAAAgBAAAPAAAAAAAAAAEAIAAAACIAAABkcnMvZG93bnJl&#10;di54bWxQSwECFAAUAAAACACHTuJAOcfKiDcCAACGBAAADgAAAAAAAAABACAAAAAmAQAAZHJzL2Uy&#10;b0RvYy54bWxQSwUGAAAAAAYABgBZAQAAzwUAAAAA&#10;">
                <v:fill on="t" focussize="0,0"/>
                <v:stroke color="#000000" miterlimit="8" joinstyle="miter"/>
                <v:imagedata o:title=""/>
                <o:lock v:ext="edit" aspectratio="f"/>
                <v:textbox>
                  <w:txbxContent>
                    <w:p>
                      <w:pPr>
                        <w:jc w:val="right"/>
                        <w:rPr>
                          <w:color w:val="000000"/>
                        </w:rPr>
                      </w:pPr>
                    </w:p>
                    <w:p>
                      <w:pPr>
                        <w:jc w:val="right"/>
                        <w:rPr>
                          <w:color w:val="000000"/>
                        </w:rPr>
                      </w:pPr>
                    </w:p>
                    <w:p>
                      <w:pPr>
                        <w:jc w:val="right"/>
                        <w:rPr>
                          <w:color w:val="000000"/>
                        </w:rPr>
                      </w:pPr>
                    </w:p>
                    <w:p>
                      <w:pPr>
                        <w:jc w:val="right"/>
                        <w:rPr>
                          <w:color w:val="000000"/>
                        </w:rPr>
                      </w:pPr>
                    </w:p>
                    <w:p>
                      <w:pPr>
                        <w:jc w:val="right"/>
                        <w:rPr>
                          <w:color w:val="000000"/>
                        </w:rPr>
                      </w:pPr>
                    </w:p>
                    <w:p>
                      <w:pPr>
                        <w:jc w:val="right"/>
                        <w:rPr>
                          <w:color w:val="000000"/>
                        </w:rPr>
                      </w:pPr>
                    </w:p>
                    <w:p>
                      <w:pPr>
                        <w:jc w:val="center"/>
                        <w:rPr>
                          <w:rFonts w:ascii="宋体" w:hAnsi="宋体" w:cs="宋体"/>
                          <w:szCs w:val="21"/>
                        </w:rPr>
                      </w:pPr>
                      <w:r>
                        <w:rPr>
                          <w:rFonts w:hint="eastAsia" w:ascii="宋体" w:hAnsi="宋体" w:cs="宋体"/>
                          <w:color w:val="000000"/>
                          <w:szCs w:val="21"/>
                        </w:rPr>
                        <w:t>进账单或电汇凭证</w:t>
                      </w:r>
                      <w:r>
                        <w:rPr>
                          <w:rFonts w:hint="eastAsia" w:ascii="宋体" w:hAnsi="宋体" w:cs="宋体"/>
                          <w:szCs w:val="21"/>
                        </w:rPr>
                        <w:t>复印件</w:t>
                      </w:r>
                    </w:p>
                  </w:txbxContent>
                </v:textbox>
              </v:rect>
            </w:pict>
          </mc:Fallback>
        </mc:AlternateContent>
      </w: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autoSpaceDE w:val="0"/>
        <w:autoSpaceDN w:val="0"/>
        <w:spacing w:line="360" w:lineRule="auto"/>
        <w:ind w:left="4920" w:leftChars="1850" w:hanging="480" w:hangingChars="200"/>
        <w:rPr>
          <w:rFonts w:ascii="宋体" w:hAnsi="宋体" w:cs="宋体"/>
          <w:kern w:val="0"/>
          <w:szCs w:val="21"/>
        </w:rPr>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pacing w:line="360" w:lineRule="auto"/>
        <w:jc w:val="left"/>
        <w:outlineLvl w:val="2"/>
        <w:rPr>
          <w:rFonts w:ascii="宋体" w:hAnsi="宋体" w:cs="宋体"/>
          <w:b/>
          <w:szCs w:val="21"/>
        </w:rPr>
      </w:pPr>
      <w:r>
        <w:rPr>
          <w:rFonts w:hint="eastAsia" w:hAnsi="宋体" w:cs="宋体"/>
          <w:b/>
          <w:szCs w:val="21"/>
        </w:rPr>
        <w:br w:type="page"/>
      </w:r>
      <w:bookmarkStart w:id="259" w:name="_Toc29601"/>
      <w:bookmarkStart w:id="260" w:name="_Toc20271"/>
      <w:bookmarkStart w:id="261" w:name="_Toc31177"/>
      <w:bookmarkStart w:id="262" w:name="_Toc5742"/>
      <w:bookmarkStart w:id="263" w:name="_Toc25685"/>
      <w:bookmarkStart w:id="264" w:name="_Toc15360"/>
      <w:bookmarkStart w:id="265" w:name="_Toc1820"/>
      <w:bookmarkStart w:id="266" w:name="_Toc927"/>
      <w:bookmarkStart w:id="267" w:name="_Toc29486"/>
      <w:bookmarkStart w:id="268" w:name="_Toc18278"/>
      <w:r>
        <w:rPr>
          <w:rFonts w:hint="eastAsia" w:hAnsi="宋体" w:cs="宋体"/>
          <w:b/>
          <w:szCs w:val="21"/>
        </w:rPr>
        <w:t>七</w:t>
      </w:r>
      <w:r>
        <w:rPr>
          <w:rFonts w:hint="eastAsia" w:ascii="宋体" w:hAnsi="宋体" w:cs="宋体"/>
          <w:b/>
          <w:szCs w:val="21"/>
        </w:rPr>
        <w:t>、</w:t>
      </w:r>
      <w:bookmarkEnd w:id="259"/>
      <w:bookmarkEnd w:id="260"/>
      <w:bookmarkEnd w:id="261"/>
      <w:bookmarkEnd w:id="262"/>
      <w:bookmarkEnd w:id="263"/>
      <w:bookmarkEnd w:id="264"/>
      <w:bookmarkEnd w:id="265"/>
      <w:bookmarkEnd w:id="266"/>
      <w:r>
        <w:rPr>
          <w:rFonts w:hint="eastAsia" w:ascii="宋体" w:hAnsi="宋体" w:cs="宋体"/>
          <w:b/>
          <w:szCs w:val="21"/>
        </w:rPr>
        <w:t>商务条款偏离表</w:t>
      </w:r>
      <w:bookmarkEnd w:id="267"/>
      <w:bookmarkEnd w:id="268"/>
    </w:p>
    <w:p>
      <w:pPr>
        <w:spacing w:line="360" w:lineRule="auto"/>
        <w:jc w:val="center"/>
        <w:rPr>
          <w:rFonts w:ascii="宋体" w:hAnsi="宋体" w:cs="宋体"/>
          <w:b/>
          <w:bCs/>
          <w:sz w:val="28"/>
          <w:szCs w:val="28"/>
        </w:rPr>
      </w:pPr>
      <w:r>
        <w:rPr>
          <w:rFonts w:hint="eastAsia" w:ascii="宋体" w:hAnsi="宋体" w:cs="宋体"/>
          <w:b/>
          <w:bCs/>
          <w:sz w:val="28"/>
          <w:szCs w:val="28"/>
        </w:rPr>
        <w:t>商务条款偏离表</w:t>
      </w:r>
    </w:p>
    <w:p>
      <w:pPr>
        <w:spacing w:line="360" w:lineRule="auto"/>
        <w:ind w:firstLine="480" w:firstLineChars="200"/>
        <w:contextualSpacing/>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360" w:lineRule="auto"/>
        <w:ind w:firstLine="480" w:firstLineChars="200"/>
        <w:contextualSpacing/>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454"/>
        <w:gridCol w:w="311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内容</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竞争性磋商采购文件需求</w:t>
            </w: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响应文件的承诺内容</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szCs w:val="21"/>
              </w:rPr>
            </w:pPr>
            <w:r>
              <w:rPr>
                <w:rFonts w:hint="eastAsia" w:ascii="宋体" w:hAnsi="宋体"/>
                <w:szCs w:val="21"/>
              </w:rPr>
              <w:t>交付（服务）时间及地点</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szCs w:val="21"/>
              </w:rPr>
            </w:pPr>
            <w:r>
              <w:rPr>
                <w:rFonts w:hint="eastAsia" w:ascii="宋体" w:hAnsi="宋体" w:cs="宋体"/>
                <w:szCs w:val="21"/>
              </w:rPr>
              <w:t>基本要求</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Ansi="宋体" w:cs="宋体"/>
                <w:szCs w:val="21"/>
              </w:rPr>
            </w:pPr>
            <w:r>
              <w:rPr>
                <w:rFonts w:hint="eastAsia" w:ascii="宋体" w:hAnsi="宋体" w:cs="宋体"/>
                <w:szCs w:val="21"/>
              </w:rPr>
              <w:t>报价方式</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Ansi="宋体" w:cs="宋体"/>
                <w:szCs w:val="21"/>
              </w:rPr>
            </w:pPr>
            <w:r>
              <w:rPr>
                <w:rFonts w:hint="eastAsia" w:ascii="宋体" w:hAnsi="宋体" w:cs="宋体"/>
                <w:szCs w:val="21"/>
              </w:rPr>
              <w:t>售后服务要求</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Ansi="宋体" w:cs="宋体"/>
                <w:szCs w:val="21"/>
              </w:rPr>
            </w:pPr>
            <w:r>
              <w:rPr>
                <w:rFonts w:hint="eastAsia" w:ascii="宋体" w:hAnsi="宋体" w:cs="宋体"/>
                <w:kern w:val="0"/>
                <w:szCs w:val="21"/>
              </w:rPr>
              <w:t>交付使用时间、服务期限及地点</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napToGrid w:val="0"/>
              <w:spacing w:line="400" w:lineRule="exact"/>
              <w:jc w:val="center"/>
              <w:rPr>
                <w:rFonts w:hAnsi="宋体" w:cs="宋体"/>
                <w:szCs w:val="21"/>
              </w:rPr>
            </w:pPr>
            <w:r>
              <w:rPr>
                <w:rFonts w:hint="eastAsia" w:ascii="宋体" w:hAnsi="宋体" w:cs="宋体"/>
                <w:szCs w:val="21"/>
              </w:rPr>
              <w:t>付款方式</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Ansi="宋体" w:cs="宋体"/>
                <w:szCs w:val="21"/>
              </w:rPr>
            </w:pPr>
            <w:r>
              <w:rPr>
                <w:rFonts w:hint="eastAsia" w:ascii="宋体" w:hAnsi="宋体" w:cs="宋体"/>
                <w:szCs w:val="21"/>
              </w:rPr>
              <w:t>验收条件及标准</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Ansi="宋体" w:cs="宋体"/>
                <w:szCs w:val="21"/>
              </w:rPr>
            </w:pPr>
            <w:r>
              <w:rPr>
                <w:rFonts w:hint="eastAsia" w:ascii="宋体" w:hAnsi="宋体" w:cs="宋体"/>
                <w:bCs/>
                <w:szCs w:val="21"/>
              </w:rPr>
              <w:t>其他要求</w:t>
            </w:r>
          </w:p>
        </w:tc>
        <w:tc>
          <w:tcPr>
            <w:tcW w:w="3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bl>
    <w:p>
      <w:pPr>
        <w:bidi w:val="0"/>
        <w:spacing w:line="240" w:lineRule="auto"/>
        <w:rPr>
          <w:rFonts w:hint="eastAsia" w:ascii="宋体" w:hAnsi="宋体" w:eastAsia="宋体" w:cs="宋体"/>
          <w:sz w:val="24"/>
          <w:szCs w:val="24"/>
        </w:rPr>
      </w:pPr>
      <w:r>
        <w:rPr>
          <w:rFonts w:hint="eastAsia" w:ascii="宋体" w:hAnsi="宋体" w:eastAsia="宋体" w:cs="宋体"/>
          <w:sz w:val="24"/>
          <w:szCs w:val="24"/>
        </w:rPr>
        <w:t>注：</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1.说明：应对照磋商文件“第三章 </w:t>
      </w:r>
      <w:r>
        <w:rPr>
          <w:rFonts w:hint="eastAsia" w:ascii="宋体" w:hAnsi="宋体" w:eastAsia="宋体" w:cs="宋体"/>
          <w:sz w:val="24"/>
          <w:szCs w:val="24"/>
          <w:lang w:val="en-US" w:eastAsia="zh-CN"/>
        </w:rPr>
        <w:t>项目</w:t>
      </w:r>
      <w:r>
        <w:rPr>
          <w:rFonts w:hint="eastAsia" w:ascii="宋体" w:hAnsi="宋体" w:eastAsia="宋体" w:cs="宋体"/>
          <w:sz w:val="24"/>
          <w:szCs w:val="24"/>
        </w:rPr>
        <w:t>采购需求”中的商务条款及服务需求逐条作出明确响应，并作出偏离说明。</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 当响应文件的商务内容低于竞争性磋商采购文件要求时，</w:t>
      </w:r>
      <w:r>
        <w:rPr>
          <w:rFonts w:hint="eastAsia" w:ascii="宋体" w:hAnsi="宋体" w:cs="宋体"/>
          <w:color w:val="auto"/>
          <w:lang w:val="en-US" w:eastAsia="zh-CN"/>
        </w:rPr>
        <w:t>供应商</w:t>
      </w:r>
      <w:r>
        <w:rPr>
          <w:rFonts w:hint="eastAsia" w:ascii="宋体" w:hAnsi="宋体" w:eastAsia="宋体" w:cs="宋体"/>
          <w:sz w:val="24"/>
          <w:szCs w:val="24"/>
        </w:rPr>
        <w:t>应当如实写明“负偏离”，否则视为虚假应标</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rPr>
        <w:t>3.表格内容均需按要求填写，不得留空，否则按竞标无效处理。</w:t>
      </w:r>
    </w:p>
    <w:p>
      <w:pPr>
        <w:bidi w:val="0"/>
        <w:spacing w:line="240" w:lineRule="auto"/>
        <w:rPr>
          <w:rFonts w:hint="eastAsia" w:ascii="宋体" w:hAnsi="宋体" w:eastAsia="宋体" w:cs="宋体"/>
          <w:sz w:val="24"/>
          <w:szCs w:val="24"/>
        </w:rPr>
      </w:pPr>
    </w:p>
    <w:p>
      <w:pPr>
        <w:bidi w:val="0"/>
        <w:spacing w:line="240" w:lineRule="auto"/>
        <w:ind w:firstLine="2400" w:firstLineChars="1000"/>
        <w:rPr>
          <w:rFonts w:hint="eastAsia" w:ascii="宋体" w:hAnsi="宋体" w:eastAsia="宋体" w:cs="宋体"/>
          <w:sz w:val="24"/>
          <w:szCs w:val="24"/>
        </w:rPr>
      </w:pPr>
    </w:p>
    <w:p>
      <w:pPr>
        <w:bidi w:val="0"/>
        <w:spacing w:line="360" w:lineRule="auto"/>
        <w:ind w:firstLine="2400" w:firstLineChars="1000"/>
        <w:rPr>
          <w:rFonts w:hint="eastAsia" w:ascii="宋体" w:hAnsi="宋体" w:eastAsia="宋体" w:cs="宋体"/>
          <w:sz w:val="24"/>
          <w:szCs w:val="24"/>
        </w:rPr>
      </w:pPr>
    </w:p>
    <w:p>
      <w:pPr>
        <w:bidi w:val="0"/>
        <w:spacing w:line="360" w:lineRule="auto"/>
        <w:ind w:firstLine="2400" w:firstLineChars="1000"/>
        <w:rPr>
          <w:rFonts w:hint="eastAsia" w:ascii="宋体" w:hAnsi="宋体" w:eastAsia="宋体" w:cs="宋体"/>
          <w:sz w:val="24"/>
          <w:szCs w:val="24"/>
          <w:u w:val="single"/>
        </w:rPr>
      </w:pPr>
      <w:r>
        <w:rPr>
          <w:rFonts w:hint="eastAsia" w:ascii="宋体" w:hAnsi="宋体" w:eastAsia="宋体" w:cs="宋体"/>
          <w:sz w:val="24"/>
          <w:szCs w:val="24"/>
        </w:rPr>
        <w:t>供应商名称（牵头方全称并加盖CA电子签章）：</w:t>
      </w:r>
      <w:r>
        <w:rPr>
          <w:rFonts w:hint="eastAsia" w:ascii="宋体" w:hAnsi="宋体" w:eastAsia="宋体" w:cs="宋体"/>
          <w:sz w:val="24"/>
          <w:szCs w:val="24"/>
          <w:u w:val="single"/>
        </w:rPr>
        <w:t xml:space="preserve">                </w:t>
      </w:r>
    </w:p>
    <w:p>
      <w:pPr>
        <w:bidi w:val="0"/>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法定代表人（负责人/自然人）或委托代理人（签字或加盖CA电子签字章）：                 </w:t>
      </w:r>
    </w:p>
    <w:p>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15"/>
        <w:spacing w:line="360" w:lineRule="auto"/>
        <w:outlineLvl w:val="2"/>
        <w:rPr>
          <w:rFonts w:hAnsi="宋体" w:cs="宋体"/>
          <w:b/>
          <w:szCs w:val="21"/>
        </w:rPr>
      </w:pPr>
      <w:bookmarkStart w:id="269" w:name="_Toc25645"/>
      <w:bookmarkStart w:id="270" w:name="_Toc6895"/>
      <w:bookmarkStart w:id="271" w:name="_Toc14746"/>
      <w:bookmarkStart w:id="272" w:name="_Toc15744"/>
      <w:bookmarkStart w:id="273" w:name="_Toc21814"/>
      <w:bookmarkStart w:id="274" w:name="_Toc21487"/>
      <w:bookmarkStart w:id="275" w:name="_Toc23428"/>
      <w:bookmarkStart w:id="276" w:name="_Toc25095"/>
      <w:bookmarkStart w:id="277" w:name="_Toc6239"/>
      <w:bookmarkStart w:id="278" w:name="_Toc11293"/>
      <w:r>
        <w:rPr>
          <w:rFonts w:hint="eastAsia" w:hAnsi="宋体" w:cs="宋体"/>
          <w:b/>
          <w:bCs/>
          <w:szCs w:val="21"/>
        </w:rPr>
        <w:t>八、</w:t>
      </w:r>
      <w:bookmarkEnd w:id="269"/>
      <w:bookmarkEnd w:id="270"/>
      <w:bookmarkEnd w:id="271"/>
      <w:bookmarkEnd w:id="272"/>
      <w:bookmarkEnd w:id="273"/>
      <w:bookmarkEnd w:id="274"/>
      <w:bookmarkEnd w:id="275"/>
      <w:bookmarkEnd w:id="276"/>
      <w:r>
        <w:rPr>
          <w:rFonts w:hint="eastAsia" w:hAnsi="宋体" w:cs="宋体"/>
          <w:b/>
          <w:bCs/>
          <w:szCs w:val="21"/>
        </w:rPr>
        <w:t>中小企业声明函、残疾人福利单位声明函格式</w:t>
      </w:r>
      <w:bookmarkEnd w:id="277"/>
      <w:bookmarkEnd w:id="278"/>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中小企业声明函（服务）</w:t>
      </w:r>
    </w:p>
    <w:p>
      <w:pPr>
        <w:pStyle w:val="2"/>
        <w:spacing w:line="360" w:lineRule="auto"/>
        <w:ind w:left="-6" w:right="142" w:firstLine="484" w:firstLineChars="202"/>
        <w:contextualSpacing/>
        <w:rPr>
          <w:rFonts w:ascii="宋体" w:hAnsi="宋体" w:cs="宋体"/>
          <w:sz w:val="24"/>
          <w:szCs w:val="24"/>
        </w:rPr>
      </w:pPr>
      <w:r>
        <w:rPr>
          <w:rFonts w:hint="eastAsia" w:ascii="宋体" w:hAnsi="宋体" w:cs="宋体"/>
          <w:sz w:val="24"/>
          <w:szCs w:val="24"/>
        </w:rPr>
        <w:t>本公司郑重声明，根据《政府采购促进中小企业发展管理办法》（财库﹝2020﹞46号）的规定，本公司参加</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（采购人名称）</w:t>
      </w:r>
      <w:r>
        <w:rPr>
          <w:rFonts w:hint="eastAsia" w:ascii="宋体" w:hAnsi="宋体" w:cs="宋体"/>
          <w:sz w:val="24"/>
          <w:szCs w:val="24"/>
          <w:u w:val="single"/>
          <w:lang w:val="en-US" w:eastAsia="zh-CN"/>
        </w:rPr>
        <w:t xml:space="preserve">      </w:t>
      </w:r>
      <w:r>
        <w:rPr>
          <w:rFonts w:hint="eastAsia" w:ascii="宋体" w:hAnsi="宋体" w:cs="宋体"/>
          <w:sz w:val="24"/>
          <w:szCs w:val="24"/>
        </w:rPr>
        <w:t>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rPr>
        <w:t>活动，服务全部由符合政策要求的中小企业承接。相关企业的具体情况如下：</w:t>
      </w:r>
    </w:p>
    <w:p>
      <w:pPr>
        <w:tabs>
          <w:tab w:val="left" w:pos="1384"/>
          <w:tab w:val="left" w:pos="4562"/>
          <w:tab w:val="left" w:pos="6803"/>
        </w:tabs>
        <w:spacing w:line="360" w:lineRule="auto"/>
        <w:ind w:left="-6" w:right="-58" w:firstLine="484" w:firstLineChars="202"/>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tabs>
          <w:tab w:val="left" w:pos="1065"/>
          <w:tab w:val="left" w:pos="6477"/>
        </w:tabs>
        <w:spacing w:line="360" w:lineRule="auto"/>
        <w:ind w:left="-6" w:right="-58" w:firstLine="484" w:firstLineChars="202"/>
        <w:contextualSpacing/>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
        <w:spacing w:line="360" w:lineRule="auto"/>
        <w:ind w:left="-6" w:right="142" w:firstLine="484" w:firstLineChars="202"/>
        <w:contextualSpacing/>
        <w:rPr>
          <w:rFonts w:ascii="宋体" w:hAnsi="宋体" w:cs="宋体"/>
          <w:sz w:val="24"/>
          <w:szCs w:val="24"/>
        </w:rPr>
      </w:pPr>
      <w:r>
        <w:rPr>
          <w:rFonts w:hint="eastAsia" w:ascii="宋体" w:hAnsi="宋体" w:cs="宋体"/>
          <w:sz w:val="24"/>
          <w:szCs w:val="24"/>
        </w:rPr>
        <w:t xml:space="preserve">…… </w:t>
      </w:r>
    </w:p>
    <w:p>
      <w:pPr>
        <w:pStyle w:val="2"/>
        <w:spacing w:line="360" w:lineRule="auto"/>
        <w:ind w:left="-6" w:right="142" w:firstLine="484" w:firstLineChars="202"/>
        <w:contextualSpacing/>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
        <w:spacing w:line="360" w:lineRule="auto"/>
        <w:ind w:left="-6" w:right="142" w:firstLine="484" w:firstLineChars="202"/>
        <w:contextualSpacing/>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wordWrap w:val="0"/>
        <w:snapToGrid w:val="0"/>
        <w:spacing w:line="360" w:lineRule="auto"/>
        <w:jc w:val="right"/>
        <w:rPr>
          <w:rFonts w:ascii="宋体" w:hAnsi="宋体" w:cs="宋体"/>
          <w:kern w:val="0"/>
          <w:szCs w:val="21"/>
          <w:lang w:val="zh-CN"/>
        </w:rPr>
      </w:pPr>
    </w:p>
    <w:p>
      <w:pPr>
        <w:wordWrap w:val="0"/>
        <w:snapToGrid w:val="0"/>
        <w:spacing w:line="360" w:lineRule="auto"/>
        <w:jc w:val="right"/>
        <w:rPr>
          <w:rFonts w:ascii="宋体" w:hAnsi="宋体" w:cs="宋体"/>
          <w:kern w:val="0"/>
          <w:szCs w:val="21"/>
          <w:lang w:val="zh-CN"/>
        </w:rPr>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pStyle w:val="2"/>
        <w:spacing w:line="360" w:lineRule="auto"/>
        <w:ind w:left="-6" w:right="1808" w:firstLine="424" w:firstLineChars="202"/>
        <w:contextualSpacing/>
        <w:rPr>
          <w:rFonts w:ascii="宋体" w:hAnsi="宋体" w:cs="宋体"/>
          <w:sz w:val="21"/>
          <w:szCs w:val="21"/>
        </w:rPr>
      </w:pPr>
    </w:p>
    <w:p>
      <w:pPr>
        <w:spacing w:line="360" w:lineRule="auto"/>
        <w:ind w:left="-6" w:firstLine="484" w:firstLineChars="202"/>
        <w:contextualSpacing/>
        <w:jc w:val="left"/>
        <w:rPr>
          <w:rFonts w:ascii="宋体" w:hAnsi="宋体" w:cs="宋体"/>
          <w:szCs w:val="21"/>
        </w:rPr>
      </w:pPr>
      <w:r>
        <w:rPr>
          <w:rFonts w:hint="eastAsia" w:ascii="宋体" w:hAnsi="宋体" w:cs="宋体"/>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pStyle w:val="14"/>
        <w:rPr>
          <w:rFonts w:ascii="宋体" w:hAnsi="宋体" w:cs="宋体"/>
          <w:szCs w:val="21"/>
        </w:rPr>
      </w:pPr>
    </w:p>
    <w:p/>
    <w:p>
      <w:pPr>
        <w:snapToGrid w:val="0"/>
        <w:spacing w:before="120" w:beforeLines="50" w:after="50" w:line="360" w:lineRule="auto"/>
        <w:ind w:left="-6" w:firstLine="487" w:firstLineChars="202"/>
        <w:outlineLvl w:val="1"/>
        <w:rPr>
          <w:rFonts w:ascii="宋体" w:hAnsi="宋体" w:cs="宋体"/>
          <w:b/>
          <w:bCs/>
          <w:szCs w:val="21"/>
        </w:rPr>
        <w:sectPr>
          <w:pgSz w:w="11910" w:h="16840"/>
          <w:pgMar w:top="1440" w:right="1080" w:bottom="1440" w:left="1080" w:header="720" w:footer="720" w:gutter="0"/>
          <w:cols w:space="720" w:num="1"/>
        </w:sectPr>
      </w:pPr>
    </w:p>
    <w:p>
      <w:pPr>
        <w:spacing w:line="360" w:lineRule="auto"/>
        <w:jc w:val="center"/>
        <w:rPr>
          <w:rFonts w:ascii="宋体" w:hAnsi="宋体" w:cs="宋体"/>
          <w:b/>
          <w:bCs/>
          <w:sz w:val="28"/>
          <w:szCs w:val="28"/>
        </w:rPr>
      </w:pPr>
      <w:r>
        <w:rPr>
          <w:rFonts w:hint="eastAsia" w:ascii="宋体" w:hAnsi="宋体" w:cs="宋体"/>
          <w:b/>
          <w:bCs/>
          <w:sz w:val="28"/>
          <w:szCs w:val="28"/>
        </w:rPr>
        <w:t>残疾人福利性单位声明函</w:t>
      </w:r>
    </w:p>
    <w:p>
      <w:pPr>
        <w:spacing w:line="360" w:lineRule="auto"/>
        <w:rPr>
          <w:rFonts w:ascii="宋体" w:hAnsi="宋体" w:cs="宋体"/>
          <w:szCs w:val="21"/>
        </w:rPr>
      </w:pPr>
    </w:p>
    <w:p>
      <w:pPr>
        <w:spacing w:line="360" w:lineRule="auto"/>
        <w:ind w:firstLine="480" w:firstLineChars="200"/>
        <w:contextualSpacing/>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lang w:val="en-US" w:eastAsia="zh-CN"/>
        </w:rPr>
        <w:t xml:space="preserve">    </w:t>
      </w:r>
      <w:r>
        <w:rPr>
          <w:rFonts w:hint="eastAsia" w:ascii="宋体" w:hAnsi="宋体" w:eastAsia="宋体" w:cs="宋体"/>
          <w:spacing w:val="6"/>
          <w:sz w:val="24"/>
          <w:szCs w:val="24"/>
          <w:u w:val="single"/>
          <w:lang w:eastAsia="zh-CN"/>
        </w:rPr>
        <w:t>（采购人名称）</w:t>
      </w:r>
      <w:r>
        <w:rPr>
          <w:rFonts w:hint="eastAsia" w:ascii="宋体" w:hAnsi="宋体" w:cs="宋体"/>
          <w:spacing w:val="6"/>
          <w:sz w:val="24"/>
          <w:szCs w:val="24"/>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(项目名称)</w:t>
      </w:r>
      <w:r>
        <w:rPr>
          <w:rFonts w:hint="eastAsia" w:ascii="宋体" w:hAnsi="宋体" w:cs="宋体"/>
          <w:szCs w:val="21"/>
          <w:u w:val="single"/>
          <w:lang w:val="en-US" w:eastAsia="zh-CN"/>
        </w:rPr>
        <w:t xml:space="preserve">        </w:t>
      </w:r>
      <w:r>
        <w:rPr>
          <w:rFonts w:hint="eastAsia" w:ascii="宋体" w:hAnsi="宋体" w:cs="宋体"/>
          <w:szCs w:val="21"/>
        </w:rPr>
        <w:t>采购活动由本单位提供服务。</w:t>
      </w:r>
    </w:p>
    <w:p>
      <w:pPr>
        <w:spacing w:line="360" w:lineRule="auto"/>
        <w:ind w:firstLine="480" w:firstLineChars="200"/>
        <w:contextualSpacing/>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contextualSpacing/>
        <w:rPr>
          <w:rFonts w:ascii="宋体" w:hAnsi="宋体" w:cs="宋体"/>
          <w:szCs w:val="21"/>
        </w:rPr>
      </w:pPr>
    </w:p>
    <w:p>
      <w:pPr>
        <w:spacing w:line="360" w:lineRule="auto"/>
        <w:contextualSpacing/>
        <w:rPr>
          <w:rFonts w:ascii="宋体" w:hAnsi="宋体" w:cs="宋体"/>
          <w:szCs w:val="21"/>
        </w:rPr>
      </w:pPr>
    </w:p>
    <w:p>
      <w:pPr>
        <w:spacing w:line="360" w:lineRule="auto"/>
        <w:contextualSpacing/>
        <w:rPr>
          <w:rFonts w:ascii="宋体" w:hAnsi="宋体" w:cs="宋体"/>
          <w:szCs w:val="21"/>
        </w:rPr>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pacing w:line="360" w:lineRule="auto"/>
        <w:contextualSpacing/>
        <w:rPr>
          <w:rFonts w:ascii="宋体" w:hAnsi="宋体" w:cs="宋体"/>
          <w:szCs w:val="21"/>
        </w:rPr>
      </w:pPr>
    </w:p>
    <w:p>
      <w:pPr>
        <w:spacing w:line="360" w:lineRule="auto"/>
        <w:contextualSpacing/>
        <w:rPr>
          <w:rFonts w:ascii="宋体" w:hAnsi="宋体" w:cs="宋体"/>
          <w:szCs w:val="21"/>
        </w:rPr>
      </w:pPr>
      <w:r>
        <w:rPr>
          <w:rFonts w:hint="eastAsia" w:ascii="宋体" w:hAnsi="宋体" w:cs="宋体"/>
          <w:szCs w:val="21"/>
        </w:rPr>
        <w:t>注：请根据自己的真实情况出具《残疾人福利性单位声明函》。依法享受中小企业优惠政策的，采购人或者采购代理机构在公告</w:t>
      </w:r>
      <w:r>
        <w:rPr>
          <w:rFonts w:hint="eastAsia" w:ascii="宋体" w:hAnsi="宋体" w:cs="宋体"/>
          <w:szCs w:val="21"/>
          <w:lang w:val="en-US" w:eastAsia="zh-CN"/>
        </w:rPr>
        <w:t>成交</w:t>
      </w:r>
      <w:r>
        <w:rPr>
          <w:rFonts w:hint="eastAsia" w:ascii="宋体" w:hAnsi="宋体" w:cs="宋体"/>
          <w:szCs w:val="21"/>
        </w:rPr>
        <w:t>结果时，同时公告其《残疾人福利性单位声明函》，接受社会监督。</w:t>
      </w:r>
    </w:p>
    <w:p>
      <w:pPr>
        <w:pStyle w:val="20"/>
        <w:ind w:left="0" w:leftChars="0"/>
        <w:rPr>
          <w:lang w:val="zh-CN"/>
        </w:rPr>
      </w:pPr>
    </w:p>
    <w:p>
      <w:pPr>
        <w:pStyle w:val="20"/>
        <w:ind w:left="480"/>
        <w:rPr>
          <w:lang w:val="zh-CN"/>
        </w:rPr>
      </w:pPr>
    </w:p>
    <w:p>
      <w:pPr>
        <w:pStyle w:val="20"/>
        <w:ind w:left="480"/>
        <w:rPr>
          <w:lang w:val="zh-CN"/>
        </w:rPr>
        <w:sectPr>
          <w:pgSz w:w="11910" w:h="16840"/>
          <w:pgMar w:top="1440" w:right="1080" w:bottom="1440" w:left="1080" w:header="720" w:footer="720" w:gutter="0"/>
          <w:cols w:space="720" w:num="1"/>
        </w:sectPr>
      </w:pPr>
    </w:p>
    <w:p>
      <w:pPr>
        <w:autoSpaceDE w:val="0"/>
        <w:autoSpaceDN w:val="0"/>
        <w:spacing w:line="360" w:lineRule="auto"/>
        <w:outlineLvl w:val="2"/>
        <w:rPr>
          <w:rFonts w:ascii="宋体" w:hAnsi="宋体" w:cs="宋体"/>
          <w:b/>
          <w:szCs w:val="21"/>
        </w:rPr>
      </w:pPr>
      <w:bookmarkStart w:id="279" w:name="_Toc13241"/>
      <w:bookmarkStart w:id="280" w:name="_Toc27221"/>
      <w:bookmarkStart w:id="281" w:name="_Toc10273"/>
      <w:bookmarkStart w:id="282" w:name="_Toc2289"/>
      <w:bookmarkStart w:id="283" w:name="_Toc10236"/>
      <w:bookmarkStart w:id="284" w:name="_Toc27691"/>
      <w:bookmarkStart w:id="285" w:name="_Toc15150"/>
      <w:bookmarkStart w:id="286" w:name="_Toc2287"/>
      <w:bookmarkStart w:id="287" w:name="_Toc2117"/>
      <w:bookmarkStart w:id="288" w:name="_Toc6186"/>
      <w:bookmarkStart w:id="289" w:name="_Toc23207"/>
      <w:bookmarkStart w:id="290" w:name="_Toc16716"/>
      <w:bookmarkStart w:id="291" w:name="_Toc19323"/>
      <w:bookmarkStart w:id="292" w:name="_Toc32309"/>
      <w:bookmarkStart w:id="293" w:name="_Toc23296"/>
      <w:bookmarkStart w:id="294" w:name="_Toc3024"/>
      <w:bookmarkStart w:id="295" w:name="_Toc1184"/>
      <w:bookmarkStart w:id="296" w:name="_Toc5132"/>
      <w:bookmarkStart w:id="297" w:name="_Toc23347"/>
      <w:bookmarkStart w:id="298" w:name="_Toc8891"/>
      <w:r>
        <w:rPr>
          <w:rFonts w:hint="eastAsia" w:ascii="宋体" w:hAnsi="宋体" w:cs="宋体"/>
          <w:b/>
          <w:bCs/>
          <w:szCs w:val="21"/>
        </w:rPr>
        <w:t>九</w:t>
      </w:r>
      <w:r>
        <w:rPr>
          <w:rFonts w:hint="eastAsia" w:ascii="宋体" w:hAnsi="宋体" w:cs="宋体"/>
          <w:b/>
          <w:szCs w:val="21"/>
        </w:rPr>
        <w:t>、</w:t>
      </w:r>
      <w:bookmarkEnd w:id="279"/>
      <w:bookmarkEnd w:id="280"/>
      <w:bookmarkEnd w:id="281"/>
      <w:bookmarkEnd w:id="282"/>
      <w:bookmarkEnd w:id="283"/>
      <w:bookmarkEnd w:id="284"/>
      <w:bookmarkEnd w:id="285"/>
      <w:bookmarkEnd w:id="286"/>
      <w:bookmarkEnd w:id="287"/>
      <w:bookmarkEnd w:id="288"/>
      <w:r>
        <w:rPr>
          <w:rFonts w:hint="eastAsia" w:ascii="宋体" w:hAnsi="宋体" w:cs="宋体"/>
          <w:b/>
          <w:szCs w:val="21"/>
        </w:rPr>
        <w:t>供应商2020年1月1日以来具有同类项目的业绩的相关证明材料（以签订的合同复印件为准，并能清晰反映项目的名称、种类、金额）（如有）</w:t>
      </w:r>
    </w:p>
    <w:p>
      <w:pPr>
        <w:pStyle w:val="19"/>
        <w:snapToGrid w:val="0"/>
        <w:spacing w:line="360" w:lineRule="auto"/>
        <w:ind w:left="420" w:hanging="420"/>
        <w:rPr>
          <w:rFonts w:ascii="宋体" w:hAnsi="宋体" w:cs="宋体"/>
          <w:sz w:val="21"/>
          <w:szCs w:val="21"/>
        </w:rPr>
      </w:pPr>
    </w:p>
    <w:p>
      <w:pPr>
        <w:pStyle w:val="19"/>
        <w:snapToGrid w:val="0"/>
        <w:ind w:left="643" w:hanging="643"/>
        <w:jc w:val="center"/>
        <w:rPr>
          <w:rFonts w:ascii="宋体" w:hAnsi="宋体" w:cs="宋体"/>
          <w:b/>
          <w:bCs/>
          <w:sz w:val="32"/>
          <w:szCs w:val="32"/>
        </w:rPr>
      </w:pPr>
      <w:r>
        <w:rPr>
          <w:rFonts w:hint="eastAsia" w:ascii="宋体" w:hAnsi="宋体" w:cs="宋体"/>
          <w:b/>
          <w:bCs/>
          <w:sz w:val="32"/>
          <w:szCs w:val="32"/>
        </w:rPr>
        <w:t>供应商同类项目实施情况一览表</w:t>
      </w:r>
    </w:p>
    <w:p>
      <w:pPr>
        <w:pStyle w:val="19"/>
        <w:snapToGrid w:val="0"/>
        <w:spacing w:line="360" w:lineRule="auto"/>
        <w:ind w:left="420" w:hanging="420"/>
        <w:rPr>
          <w:rFonts w:ascii="宋体" w:hAnsi="宋体" w:cs="宋体"/>
          <w:sz w:val="21"/>
          <w:szCs w:val="21"/>
        </w:rPr>
      </w:pPr>
    </w:p>
    <w:tbl>
      <w:tblPr>
        <w:tblStyle w:val="25"/>
        <w:tblW w:w="90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5"/>
        <w:gridCol w:w="1810"/>
        <w:gridCol w:w="1699"/>
        <w:gridCol w:w="1637"/>
        <w:gridCol w:w="2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8"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采购人名称</w:t>
            </w: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项目名称</w:t>
            </w: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合同金额</w:t>
            </w:r>
          </w:p>
          <w:p>
            <w:pPr>
              <w:snapToGrid w:val="0"/>
              <w:spacing w:line="360" w:lineRule="auto"/>
              <w:jc w:val="center"/>
              <w:rPr>
                <w:rFonts w:ascii="宋体" w:hAnsi="宋体" w:cs="宋体"/>
                <w:szCs w:val="21"/>
              </w:rPr>
            </w:pPr>
            <w:r>
              <w:rPr>
                <w:rFonts w:hint="eastAsia" w:ascii="宋体" w:hAnsi="宋体" w:cs="宋体"/>
                <w:szCs w:val="21"/>
              </w:rPr>
              <w:t>（万元）</w:t>
            </w: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采购人联系人及联系电话</w:t>
            </w: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项目签订时间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80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rPr>
            </w:pPr>
          </w:p>
        </w:tc>
        <w:tc>
          <w:tcPr>
            <w:tcW w:w="1699"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rPr>
            </w:pPr>
          </w:p>
        </w:tc>
        <w:tc>
          <w:tcPr>
            <w:tcW w:w="163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rPr>
            </w:pPr>
          </w:p>
        </w:tc>
        <w:tc>
          <w:tcPr>
            <w:tcW w:w="206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8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20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20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8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20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8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16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c>
          <w:tcPr>
            <w:tcW w:w="20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Cs w:val="21"/>
              </w:rPr>
            </w:pPr>
          </w:p>
        </w:tc>
      </w:tr>
    </w:tbl>
    <w:p>
      <w:pPr>
        <w:snapToGrid w:val="0"/>
        <w:spacing w:line="360" w:lineRule="auto"/>
        <w:ind w:firstLine="480" w:firstLineChars="200"/>
        <w:rPr>
          <w:rFonts w:ascii="宋体" w:hAnsi="宋体" w:cs="宋体"/>
          <w:szCs w:val="21"/>
        </w:rPr>
      </w:pPr>
      <w:r>
        <w:rPr>
          <w:rFonts w:hint="eastAsia" w:ascii="宋体" w:hAnsi="宋体" w:cs="宋体"/>
          <w:szCs w:val="21"/>
        </w:rPr>
        <w:t>注：以上业绩须提供清晰完整的合同复印件并加盖单位公章。</w:t>
      </w:r>
    </w:p>
    <w:p>
      <w:pPr>
        <w:snapToGrid w:val="0"/>
        <w:spacing w:line="360" w:lineRule="auto"/>
        <w:rPr>
          <w:rFonts w:ascii="宋体" w:hAnsi="宋体" w:cs="宋体"/>
          <w:kern w:val="0"/>
          <w:szCs w:val="21"/>
          <w:lang w:val="zh-CN"/>
        </w:rPr>
      </w:pPr>
    </w:p>
    <w:p>
      <w:pPr>
        <w:spacing w:line="500" w:lineRule="exact"/>
        <w:ind w:firstLine="3410" w:firstLineChars="1550"/>
        <w:rPr>
          <w:rFonts w:ascii="宋体" w:hAnsi="宋体" w:cs="宋体"/>
          <w:sz w:val="22"/>
          <w:szCs w:val="22"/>
        </w:rPr>
      </w:pPr>
      <w:r>
        <w:rPr>
          <w:rFonts w:hint="eastAsia" w:ascii="宋体" w:hAnsi="宋体" w:cs="宋体"/>
          <w:sz w:val="22"/>
          <w:szCs w:val="22"/>
        </w:rPr>
        <w:t>供应商名称（牵头方全称并加盖CA电子签章）：</w:t>
      </w:r>
      <w:r>
        <w:rPr>
          <w:rFonts w:hint="eastAsia" w:ascii="宋体" w:hAnsi="宋体" w:cs="宋体"/>
          <w:sz w:val="22"/>
          <w:szCs w:val="22"/>
          <w:u w:val="single"/>
        </w:rPr>
        <w:t xml:space="preserve">                </w:t>
      </w:r>
    </w:p>
    <w:p>
      <w:pPr>
        <w:spacing w:line="500" w:lineRule="exact"/>
        <w:ind w:firstLine="440" w:firstLineChars="200"/>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ind w:left="440" w:firstLine="6050" w:firstLineChars="2750"/>
        <w:rPr>
          <w:rFonts w:hAnsi="宋体" w:cs="宋体"/>
          <w:b/>
          <w:bCs/>
          <w:szCs w:val="21"/>
        </w:rPr>
      </w:pPr>
      <w:r>
        <w:rPr>
          <w:rFonts w:hint="eastAsia" w:hAnsi="宋体" w:cs="宋体"/>
          <w:sz w:val="22"/>
          <w:szCs w:val="22"/>
        </w:rPr>
        <w:t>日期：  年  月  日</w:t>
      </w:r>
    </w:p>
    <w:p>
      <w:pPr>
        <w:rPr>
          <w:rFonts w:hint="eastAsia"/>
        </w:rPr>
      </w:pPr>
      <w:r>
        <w:rPr>
          <w:rFonts w:hint="eastAsia"/>
        </w:rPr>
        <w:br w:type="page"/>
      </w:r>
    </w:p>
    <w:p>
      <w:pPr>
        <w:bidi w:val="0"/>
      </w:pPr>
      <w:r>
        <w:rPr>
          <w:rFonts w:hint="eastAsia" w:ascii="宋体" w:hAnsi="宋体" w:cs="宋体"/>
          <w:b/>
          <w:bCs/>
          <w:szCs w:val="21"/>
          <w:lang w:val="en-US" w:eastAsia="zh-CN"/>
        </w:rPr>
        <w:t>十、供应商</w:t>
      </w:r>
      <w:r>
        <w:rPr>
          <w:rFonts w:hint="eastAsia" w:ascii="宋体" w:hAnsi="宋体" w:cs="宋体"/>
          <w:b/>
          <w:bCs/>
          <w:szCs w:val="21"/>
        </w:rPr>
        <w:t>针对报价需要说明的其他文件和说明。（如有，格式自拟）</w:t>
      </w:r>
      <w:r>
        <w:rPr>
          <w:rFonts w:hint="eastAsia"/>
        </w:rPr>
        <w:br w:type="page"/>
      </w:r>
    </w:p>
    <w:p>
      <w:pPr>
        <w:pStyle w:val="4"/>
        <w:spacing w:line="360" w:lineRule="auto"/>
        <w:jc w:val="center"/>
        <w:rPr>
          <w:rFonts w:ascii="宋体" w:hAnsi="宋体" w:eastAsia="宋体" w:cs="宋体"/>
        </w:rPr>
      </w:pPr>
      <w:r>
        <w:rPr>
          <w:rFonts w:hint="eastAsia" w:ascii="宋体" w:hAnsi="宋体" w:eastAsia="宋体" w:cs="宋体"/>
        </w:rPr>
        <w:t>第三节 技术文件格式</w:t>
      </w:r>
      <w:bookmarkEnd w:id="289"/>
      <w:bookmarkEnd w:id="290"/>
      <w:bookmarkEnd w:id="291"/>
      <w:bookmarkEnd w:id="292"/>
      <w:bookmarkEnd w:id="293"/>
      <w:bookmarkEnd w:id="294"/>
      <w:bookmarkEnd w:id="295"/>
      <w:bookmarkEnd w:id="296"/>
      <w:bookmarkEnd w:id="297"/>
      <w:bookmarkEnd w:id="298"/>
    </w:p>
    <w:p>
      <w:pPr>
        <w:snapToGrid w:val="0"/>
        <w:spacing w:before="120" w:beforeLines="50" w:after="50" w:line="360" w:lineRule="auto"/>
        <w:jc w:val="center"/>
        <w:rPr>
          <w:rFonts w:ascii="宋体" w:hAnsi="宋体" w:cs="宋体"/>
          <w:bCs/>
          <w:szCs w:val="21"/>
        </w:rPr>
      </w:pPr>
      <w:r>
        <w:rPr>
          <w:rFonts w:hint="eastAsia" w:ascii="宋体" w:hAnsi="宋体" w:cs="宋体"/>
          <w:bCs/>
          <w:szCs w:val="21"/>
        </w:rPr>
        <w:t>全流程电子文件</w:t>
      </w:r>
    </w:p>
    <w:p>
      <w:pPr>
        <w:snapToGrid w:val="0"/>
        <w:spacing w:before="120" w:beforeLines="50" w:after="50" w:line="360" w:lineRule="auto"/>
        <w:rPr>
          <w:rFonts w:ascii="宋体" w:hAnsi="宋体" w:cs="宋体"/>
          <w:szCs w:val="21"/>
        </w:rPr>
      </w:pPr>
    </w:p>
    <w:p>
      <w:pPr>
        <w:snapToGrid w:val="0"/>
        <w:spacing w:before="120" w:beforeLines="50" w:after="50" w:line="360" w:lineRule="auto"/>
        <w:rPr>
          <w:rFonts w:ascii="宋体" w:hAnsi="宋体" w:cs="宋体"/>
          <w:szCs w:val="21"/>
        </w:rPr>
      </w:pPr>
    </w:p>
    <w:p>
      <w:pPr>
        <w:snapToGrid w:val="0"/>
        <w:spacing w:before="120" w:beforeLines="50" w:after="50" w:line="360" w:lineRule="auto"/>
        <w:rPr>
          <w:rFonts w:ascii="宋体" w:hAnsi="宋体" w:cs="宋体"/>
          <w:szCs w:val="21"/>
        </w:rPr>
      </w:pPr>
    </w:p>
    <w:p>
      <w:pPr>
        <w:snapToGrid w:val="0"/>
        <w:spacing w:before="120" w:beforeLines="50" w:after="50" w:line="360" w:lineRule="auto"/>
        <w:jc w:val="center"/>
        <w:rPr>
          <w:rFonts w:ascii="宋体" w:hAnsi="宋体" w:cs="宋体"/>
          <w:b/>
          <w:sz w:val="36"/>
          <w:szCs w:val="36"/>
        </w:rPr>
      </w:pPr>
      <w:r>
        <w:rPr>
          <w:rFonts w:hint="eastAsia" w:ascii="宋体" w:hAnsi="宋体" w:cs="宋体"/>
          <w:b/>
          <w:sz w:val="36"/>
          <w:szCs w:val="36"/>
        </w:rPr>
        <w:t>技术文件（封面）</w:t>
      </w: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360" w:lineRule="auto"/>
        <w:rPr>
          <w:rFonts w:ascii="宋体" w:hAnsi="宋体" w:cs="宋体"/>
          <w:bCs/>
          <w:szCs w:val="21"/>
        </w:rPr>
      </w:pP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项目名称：</w:t>
      </w: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项目编号：</w:t>
      </w:r>
    </w:p>
    <w:p>
      <w:pPr>
        <w:snapToGrid w:val="0"/>
        <w:spacing w:before="120" w:beforeLines="50" w:after="50" w:line="480" w:lineRule="auto"/>
        <w:ind w:firstLine="420" w:firstLineChars="150"/>
        <w:rPr>
          <w:rFonts w:ascii="宋体" w:hAnsi="宋体" w:cs="宋体"/>
          <w:bCs/>
          <w:sz w:val="28"/>
          <w:szCs w:val="28"/>
        </w:rPr>
      </w:pPr>
      <w:r>
        <w:rPr>
          <w:rFonts w:hint="eastAsia" w:ascii="宋体" w:hAnsi="宋体" w:cs="宋体"/>
          <w:bCs/>
          <w:sz w:val="28"/>
          <w:szCs w:val="28"/>
        </w:rPr>
        <w:t>所竞分标</w:t>
      </w:r>
      <w:r>
        <w:rPr>
          <w:rFonts w:hint="eastAsia" w:ascii="宋体" w:hAnsi="宋体" w:cs="宋体"/>
          <w:bCs/>
          <w:sz w:val="28"/>
          <w:szCs w:val="28"/>
          <w:lang w:eastAsia="zh-CN"/>
        </w:rPr>
        <w:t>：</w:t>
      </w:r>
      <w:r>
        <w:rPr>
          <w:rFonts w:hint="eastAsia" w:ascii="宋体" w:hAnsi="宋体" w:cs="宋体"/>
          <w:bCs/>
          <w:sz w:val="28"/>
          <w:szCs w:val="28"/>
        </w:rPr>
        <w:t>（如有则填写，无分标时填写“无”或者留空）：</w:t>
      </w:r>
    </w:p>
    <w:p>
      <w:pPr>
        <w:pStyle w:val="8"/>
        <w:snapToGrid w:val="0"/>
        <w:spacing w:before="50" w:after="50" w:line="480" w:lineRule="auto"/>
        <w:ind w:firstLineChars="150"/>
        <w:rPr>
          <w:rFonts w:ascii="宋体" w:hAnsi="宋体" w:cs="宋体"/>
          <w:bCs/>
          <w:sz w:val="28"/>
          <w:szCs w:val="28"/>
        </w:rPr>
      </w:pPr>
      <w:r>
        <w:rPr>
          <w:rFonts w:hint="eastAsia" w:ascii="宋体" w:hAnsi="宋体" w:cs="宋体"/>
          <w:bCs/>
          <w:sz w:val="28"/>
          <w:szCs w:val="28"/>
        </w:rPr>
        <w:t>供应商名称：</w:t>
      </w:r>
      <w:r>
        <w:rPr>
          <w:rFonts w:hint="eastAsia" w:ascii="宋体" w:hAnsi="宋体" w:cs="宋体"/>
          <w:bCs/>
          <w:sz w:val="28"/>
          <w:szCs w:val="28"/>
          <w:u w:val="single"/>
        </w:rPr>
        <w:t>（联合体</w:t>
      </w:r>
      <w:r>
        <w:rPr>
          <w:rFonts w:hint="eastAsia" w:ascii="宋体" w:hAnsi="宋体" w:cs="宋体"/>
          <w:bCs/>
          <w:sz w:val="28"/>
          <w:szCs w:val="28"/>
          <w:u w:val="single"/>
          <w:lang w:val="en-US" w:eastAsia="zh-CN"/>
        </w:rPr>
        <w:t>竞</w:t>
      </w:r>
      <w:r>
        <w:rPr>
          <w:rFonts w:hint="eastAsia" w:ascii="宋体" w:hAnsi="宋体" w:cs="宋体"/>
          <w:bCs/>
          <w:sz w:val="28"/>
          <w:szCs w:val="28"/>
          <w:u w:val="single"/>
        </w:rPr>
        <w:t>标的为联合体各成员名称并加盖牵头方CA电子签章）</w:t>
      </w:r>
    </w:p>
    <w:p>
      <w:pPr>
        <w:pStyle w:val="8"/>
        <w:snapToGrid w:val="0"/>
        <w:spacing w:before="50" w:after="50" w:line="360" w:lineRule="auto"/>
        <w:ind w:firstLineChars="150"/>
        <w:rPr>
          <w:rFonts w:ascii="宋体" w:hAnsi="宋体" w:cs="宋体"/>
          <w:bCs/>
          <w:sz w:val="28"/>
          <w:szCs w:val="28"/>
        </w:rPr>
      </w:pPr>
    </w:p>
    <w:p>
      <w:pPr>
        <w:pStyle w:val="8"/>
        <w:snapToGrid w:val="0"/>
        <w:spacing w:before="50" w:after="50" w:line="360" w:lineRule="auto"/>
        <w:ind w:firstLineChars="150"/>
        <w:rPr>
          <w:rFonts w:ascii="宋体" w:hAnsi="宋体" w:cs="宋体"/>
          <w:bCs/>
          <w:sz w:val="28"/>
          <w:szCs w:val="28"/>
        </w:rPr>
      </w:pPr>
    </w:p>
    <w:p>
      <w:pPr>
        <w:pStyle w:val="8"/>
        <w:snapToGrid w:val="0"/>
        <w:spacing w:before="50" w:after="50" w:line="360" w:lineRule="auto"/>
        <w:ind w:firstLineChars="150"/>
        <w:rPr>
          <w:rFonts w:ascii="宋体" w:hAnsi="宋体" w:cs="宋体"/>
          <w:bCs/>
          <w:sz w:val="28"/>
          <w:szCs w:val="28"/>
        </w:rPr>
      </w:pPr>
    </w:p>
    <w:p>
      <w:pPr>
        <w:snapToGrid w:val="0"/>
        <w:spacing w:before="120" w:beforeLines="50" w:after="50" w:line="360" w:lineRule="auto"/>
        <w:ind w:firstLine="420" w:firstLineChars="150"/>
        <w:jc w:val="center"/>
        <w:rPr>
          <w:rFonts w:ascii="宋体" w:hAnsi="宋体" w:cs="宋体"/>
          <w:sz w:val="28"/>
          <w:szCs w:val="28"/>
        </w:rPr>
      </w:pPr>
      <w:r>
        <w:rPr>
          <w:rFonts w:hint="eastAsia" w:ascii="宋体" w:hAnsi="宋体" w:cs="宋体"/>
          <w:sz w:val="28"/>
          <w:szCs w:val="28"/>
        </w:rPr>
        <w:t>年    月    日</w:t>
      </w:r>
    </w:p>
    <w:p>
      <w:pPr>
        <w:snapToGrid w:val="0"/>
        <w:spacing w:before="120" w:beforeLines="50" w:after="50" w:line="360" w:lineRule="auto"/>
        <w:ind w:left="142" w:firstLine="482" w:firstLineChars="200"/>
        <w:jc w:val="left"/>
        <w:rPr>
          <w:rFonts w:ascii="宋体" w:hAnsi="宋体" w:cs="宋体"/>
          <w:b/>
          <w:bCs/>
          <w:szCs w:val="21"/>
        </w:rPr>
        <w:sectPr>
          <w:pgSz w:w="11910" w:h="16840"/>
          <w:pgMar w:top="1440" w:right="1080" w:bottom="1440" w:left="1080" w:header="720" w:footer="720" w:gutter="0"/>
          <w:cols w:space="720" w:num="1"/>
        </w:sectPr>
      </w:pPr>
    </w:p>
    <w:p>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（1）技术需求偏离表；</w:t>
      </w:r>
    </w:p>
    <w:p>
      <w:pPr>
        <w:spacing w:line="360" w:lineRule="auto"/>
        <w:rPr>
          <w:rFonts w:ascii="宋体" w:hAnsi="宋体" w:cs="宋体"/>
          <w:szCs w:val="21"/>
        </w:rPr>
      </w:pPr>
      <w:r>
        <w:rPr>
          <w:rFonts w:hint="eastAsia" w:ascii="宋体" w:hAnsi="宋体" w:cs="宋体"/>
          <w:szCs w:val="21"/>
        </w:rPr>
        <w:t>（2）项目服务方案；</w:t>
      </w:r>
    </w:p>
    <w:p>
      <w:pPr>
        <w:spacing w:line="360" w:lineRule="auto"/>
        <w:rPr>
          <w:rFonts w:ascii="宋体" w:hAnsi="宋体" w:cs="宋体"/>
          <w:szCs w:val="21"/>
        </w:rPr>
      </w:pPr>
      <w:r>
        <w:rPr>
          <w:rFonts w:hint="eastAsia" w:ascii="宋体" w:hAnsi="宋体" w:cs="宋体"/>
          <w:szCs w:val="21"/>
        </w:rPr>
        <w:t>（3）服务承诺书；</w:t>
      </w:r>
    </w:p>
    <w:p>
      <w:pPr>
        <w:spacing w:line="360" w:lineRule="auto"/>
        <w:rPr>
          <w:rFonts w:ascii="宋体" w:hAnsi="宋体" w:cs="宋体"/>
          <w:szCs w:val="21"/>
        </w:rPr>
      </w:pPr>
      <w:r>
        <w:rPr>
          <w:rFonts w:hint="eastAsia" w:ascii="宋体" w:hAnsi="宋体" w:cs="宋体"/>
          <w:szCs w:val="21"/>
        </w:rPr>
        <w:t>（4）拟投入本项目人员一览表；</w:t>
      </w:r>
    </w:p>
    <w:p>
      <w:pPr>
        <w:spacing w:line="360" w:lineRule="auto"/>
        <w:rPr>
          <w:rFonts w:ascii="宋体" w:hAnsi="宋体" w:cs="宋体"/>
          <w:szCs w:val="21"/>
        </w:rPr>
      </w:pPr>
      <w:r>
        <w:rPr>
          <w:rFonts w:hint="eastAsia" w:ascii="宋体" w:hAnsi="宋体" w:cs="宋体"/>
          <w:szCs w:val="21"/>
        </w:rPr>
        <w:t>（5）供应商对本项目的合理化建议和改进措施（如有，格式自拟）；</w:t>
      </w:r>
    </w:p>
    <w:p>
      <w:pPr>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）供应商认为必要提供的声明及文件资料（如有）。</w: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注：以上目录是基本格式要求，各供应商可根据自身情况进一步向下增加内容或细化。</w:t>
      </w:r>
    </w:p>
    <w:p>
      <w:pPr>
        <w:spacing w:line="360" w:lineRule="auto"/>
        <w:rPr>
          <w:rFonts w:ascii="宋体" w:hAnsi="宋体" w:cs="宋体"/>
          <w:szCs w:val="21"/>
        </w:rPr>
      </w:pPr>
    </w:p>
    <w:p>
      <w:pPr>
        <w:spacing w:line="360" w:lineRule="exact"/>
        <w:outlineLvl w:val="2"/>
        <w:rPr>
          <w:rFonts w:ascii="宋体" w:hAnsi="宋体" w:cs="宋体"/>
          <w:szCs w:val="21"/>
        </w:rPr>
      </w:pPr>
      <w:r>
        <w:rPr>
          <w:rFonts w:hint="eastAsia" w:ascii="宋体" w:hAnsi="宋体" w:cs="宋体"/>
          <w:szCs w:val="21"/>
        </w:rPr>
        <w:br w:type="page"/>
      </w:r>
      <w:bookmarkStart w:id="299" w:name="_Toc28630"/>
      <w:bookmarkStart w:id="300" w:name="_Toc23712"/>
      <w:r>
        <w:rPr>
          <w:rFonts w:hint="eastAsia" w:ascii="宋体" w:hAnsi="宋体" w:cs="宋体"/>
          <w:b/>
          <w:bCs/>
          <w:szCs w:val="21"/>
        </w:rPr>
        <w:t>一、技术需求偏离表</w:t>
      </w:r>
      <w:bookmarkEnd w:id="299"/>
      <w:bookmarkEnd w:id="300"/>
    </w:p>
    <w:p>
      <w:pPr>
        <w:spacing w:line="360" w:lineRule="exact"/>
        <w:jc w:val="center"/>
        <w:rPr>
          <w:rFonts w:ascii="宋体" w:hAnsi="宋体" w:cs="宋体"/>
          <w:szCs w:val="21"/>
        </w:rPr>
      </w:pPr>
    </w:p>
    <w:p>
      <w:pPr>
        <w:spacing w:line="360" w:lineRule="auto"/>
        <w:jc w:val="center"/>
        <w:rPr>
          <w:rFonts w:ascii="宋体" w:hAnsi="宋体" w:cs="宋体"/>
          <w:b/>
          <w:bCs/>
          <w:sz w:val="28"/>
          <w:szCs w:val="28"/>
        </w:rPr>
      </w:pPr>
      <w:r>
        <w:rPr>
          <w:rFonts w:hint="eastAsia" w:ascii="宋体" w:hAnsi="宋体" w:cs="宋体"/>
          <w:b/>
          <w:bCs/>
          <w:sz w:val="28"/>
          <w:szCs w:val="28"/>
        </w:rPr>
        <w:t>技术需求偏离表</w:t>
      </w:r>
    </w:p>
    <w:p>
      <w:pPr>
        <w:spacing w:line="360" w:lineRule="auto"/>
        <w:ind w:firstLine="480" w:firstLineChars="200"/>
        <w:contextualSpacing/>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360" w:lineRule="auto"/>
        <w:ind w:firstLine="480" w:firstLineChars="200"/>
        <w:contextualSpacing/>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tbl>
      <w:tblPr>
        <w:tblStyle w:val="25"/>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018"/>
        <w:gridCol w:w="2254"/>
        <w:gridCol w:w="201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7" w:type="dxa"/>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2018" w:type="dxa"/>
            <w:vAlign w:val="center"/>
          </w:tcPr>
          <w:p>
            <w:pPr>
              <w:spacing w:line="360" w:lineRule="auto"/>
              <w:jc w:val="center"/>
              <w:rPr>
                <w:rFonts w:ascii="宋体" w:hAnsi="宋体" w:cs="宋体"/>
                <w:bCs/>
                <w:szCs w:val="21"/>
              </w:rPr>
            </w:pPr>
            <w:r>
              <w:rPr>
                <w:rFonts w:hint="eastAsia" w:ascii="宋体" w:hAnsi="宋体" w:cs="宋体"/>
                <w:bCs/>
                <w:szCs w:val="21"/>
              </w:rPr>
              <w:t>服务/产品名称</w:t>
            </w:r>
          </w:p>
        </w:tc>
        <w:tc>
          <w:tcPr>
            <w:tcW w:w="2254" w:type="dxa"/>
            <w:vAlign w:val="center"/>
          </w:tcPr>
          <w:p>
            <w:pPr>
              <w:spacing w:line="360" w:lineRule="auto"/>
              <w:jc w:val="center"/>
              <w:rPr>
                <w:rFonts w:ascii="宋体" w:hAnsi="宋体" w:cs="宋体"/>
                <w:bCs/>
                <w:szCs w:val="21"/>
              </w:rPr>
            </w:pPr>
            <w:r>
              <w:rPr>
                <w:rFonts w:hint="eastAsia" w:ascii="宋体" w:hAnsi="宋体" w:cs="宋体"/>
                <w:bCs/>
                <w:szCs w:val="21"/>
              </w:rPr>
              <w:t>采购文件要求</w:t>
            </w:r>
          </w:p>
        </w:tc>
        <w:tc>
          <w:tcPr>
            <w:tcW w:w="2015" w:type="dxa"/>
            <w:vAlign w:val="center"/>
          </w:tcPr>
          <w:p>
            <w:pPr>
              <w:spacing w:line="360" w:lineRule="auto"/>
              <w:jc w:val="center"/>
              <w:rPr>
                <w:rFonts w:ascii="宋体" w:hAnsi="宋体" w:cs="宋体"/>
                <w:bCs/>
                <w:szCs w:val="21"/>
              </w:rPr>
            </w:pPr>
            <w:r>
              <w:rPr>
                <w:rFonts w:hint="eastAsia" w:ascii="宋体" w:hAnsi="宋体" w:cs="宋体"/>
                <w:bCs/>
                <w:szCs w:val="21"/>
              </w:rPr>
              <w:t>响应文件承诺</w:t>
            </w:r>
          </w:p>
        </w:tc>
        <w:tc>
          <w:tcPr>
            <w:tcW w:w="1403" w:type="dxa"/>
            <w:vAlign w:val="center"/>
          </w:tcPr>
          <w:p>
            <w:pPr>
              <w:spacing w:line="360" w:lineRule="auto"/>
              <w:jc w:val="center"/>
              <w:rPr>
                <w:rFonts w:ascii="宋体" w:hAnsi="宋体" w:cs="宋体"/>
                <w:bCs/>
                <w:szCs w:val="21"/>
              </w:rPr>
            </w:pPr>
            <w:r>
              <w:rPr>
                <w:rFonts w:hint="eastAsia" w:ascii="宋体" w:hAnsi="宋体" w:cs="宋体"/>
                <w:bCs/>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87" w:type="dxa"/>
            <w:vAlign w:val="center"/>
          </w:tcPr>
          <w:p>
            <w:pPr>
              <w:pStyle w:val="12"/>
              <w:spacing w:line="360" w:lineRule="auto"/>
              <w:jc w:val="center"/>
              <w:rPr>
                <w:rFonts w:ascii="宋体" w:hAnsi="宋体" w:eastAsia="宋体" w:cs="宋体"/>
                <w:color w:val="auto"/>
                <w:sz w:val="21"/>
                <w:szCs w:val="21"/>
              </w:rPr>
            </w:pPr>
          </w:p>
        </w:tc>
        <w:tc>
          <w:tcPr>
            <w:tcW w:w="2018" w:type="dxa"/>
            <w:vAlign w:val="center"/>
          </w:tcPr>
          <w:p>
            <w:pPr>
              <w:spacing w:line="360" w:lineRule="auto"/>
              <w:jc w:val="center"/>
              <w:rPr>
                <w:rFonts w:ascii="宋体" w:hAnsi="宋体" w:cs="宋体"/>
                <w:szCs w:val="21"/>
              </w:rPr>
            </w:pPr>
          </w:p>
        </w:tc>
        <w:tc>
          <w:tcPr>
            <w:tcW w:w="2254" w:type="dxa"/>
            <w:vAlign w:val="center"/>
          </w:tcPr>
          <w:p>
            <w:pPr>
              <w:spacing w:line="360" w:lineRule="auto"/>
              <w:jc w:val="center"/>
              <w:rPr>
                <w:rFonts w:ascii="宋体" w:hAnsi="宋体" w:cs="宋体"/>
                <w:szCs w:val="21"/>
              </w:rPr>
            </w:pPr>
          </w:p>
        </w:tc>
        <w:tc>
          <w:tcPr>
            <w:tcW w:w="2015" w:type="dxa"/>
            <w:vAlign w:val="center"/>
          </w:tcPr>
          <w:p>
            <w:pPr>
              <w:spacing w:line="360" w:lineRule="auto"/>
              <w:jc w:val="center"/>
              <w:rPr>
                <w:rFonts w:ascii="宋体" w:hAnsi="宋体" w:cs="宋体"/>
                <w:szCs w:val="21"/>
              </w:rPr>
            </w:pPr>
          </w:p>
        </w:tc>
        <w:tc>
          <w:tcPr>
            <w:tcW w:w="140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87" w:type="dxa"/>
            <w:vAlign w:val="center"/>
          </w:tcPr>
          <w:p>
            <w:pPr>
              <w:spacing w:line="360" w:lineRule="auto"/>
              <w:jc w:val="center"/>
              <w:rPr>
                <w:rFonts w:ascii="宋体" w:hAnsi="宋体" w:cs="宋体"/>
                <w:szCs w:val="21"/>
              </w:rPr>
            </w:pPr>
          </w:p>
        </w:tc>
        <w:tc>
          <w:tcPr>
            <w:tcW w:w="2018" w:type="dxa"/>
            <w:vAlign w:val="center"/>
          </w:tcPr>
          <w:p>
            <w:pPr>
              <w:spacing w:line="360" w:lineRule="auto"/>
              <w:jc w:val="center"/>
              <w:rPr>
                <w:rFonts w:ascii="宋体" w:hAnsi="宋体" w:cs="宋体"/>
                <w:szCs w:val="21"/>
              </w:rPr>
            </w:pPr>
          </w:p>
        </w:tc>
        <w:tc>
          <w:tcPr>
            <w:tcW w:w="2254" w:type="dxa"/>
            <w:vAlign w:val="center"/>
          </w:tcPr>
          <w:p>
            <w:pPr>
              <w:spacing w:line="360" w:lineRule="auto"/>
              <w:jc w:val="center"/>
              <w:rPr>
                <w:rFonts w:ascii="宋体" w:hAnsi="宋体" w:cs="宋体"/>
                <w:szCs w:val="21"/>
              </w:rPr>
            </w:pPr>
          </w:p>
        </w:tc>
        <w:tc>
          <w:tcPr>
            <w:tcW w:w="2015" w:type="dxa"/>
            <w:vAlign w:val="center"/>
          </w:tcPr>
          <w:p>
            <w:pPr>
              <w:spacing w:line="360" w:lineRule="auto"/>
              <w:jc w:val="center"/>
              <w:rPr>
                <w:rFonts w:ascii="宋体" w:hAnsi="宋体" w:cs="宋体"/>
                <w:szCs w:val="21"/>
              </w:rPr>
            </w:pPr>
          </w:p>
        </w:tc>
        <w:tc>
          <w:tcPr>
            <w:tcW w:w="140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87" w:type="dxa"/>
            <w:vAlign w:val="center"/>
          </w:tcPr>
          <w:p>
            <w:pPr>
              <w:spacing w:line="360" w:lineRule="auto"/>
              <w:jc w:val="center"/>
              <w:rPr>
                <w:rFonts w:ascii="宋体" w:hAnsi="宋体" w:cs="宋体"/>
                <w:szCs w:val="21"/>
              </w:rPr>
            </w:pPr>
          </w:p>
        </w:tc>
        <w:tc>
          <w:tcPr>
            <w:tcW w:w="2018" w:type="dxa"/>
            <w:vAlign w:val="center"/>
          </w:tcPr>
          <w:p>
            <w:pPr>
              <w:spacing w:line="360" w:lineRule="auto"/>
              <w:jc w:val="center"/>
              <w:rPr>
                <w:rFonts w:ascii="宋体" w:hAnsi="宋体" w:cs="宋体"/>
                <w:szCs w:val="21"/>
              </w:rPr>
            </w:pPr>
          </w:p>
        </w:tc>
        <w:tc>
          <w:tcPr>
            <w:tcW w:w="2254" w:type="dxa"/>
            <w:vAlign w:val="center"/>
          </w:tcPr>
          <w:p>
            <w:pPr>
              <w:spacing w:line="360" w:lineRule="auto"/>
              <w:jc w:val="center"/>
              <w:rPr>
                <w:rFonts w:ascii="宋体" w:hAnsi="宋体" w:cs="宋体"/>
                <w:szCs w:val="21"/>
              </w:rPr>
            </w:pPr>
          </w:p>
        </w:tc>
        <w:tc>
          <w:tcPr>
            <w:tcW w:w="2015" w:type="dxa"/>
            <w:vAlign w:val="center"/>
          </w:tcPr>
          <w:p>
            <w:pPr>
              <w:spacing w:line="360" w:lineRule="auto"/>
              <w:jc w:val="center"/>
              <w:rPr>
                <w:rFonts w:ascii="宋体" w:hAnsi="宋体" w:cs="宋体"/>
                <w:szCs w:val="21"/>
              </w:rPr>
            </w:pPr>
          </w:p>
        </w:tc>
        <w:tc>
          <w:tcPr>
            <w:tcW w:w="140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87" w:type="dxa"/>
            <w:vAlign w:val="center"/>
          </w:tcPr>
          <w:p>
            <w:pPr>
              <w:spacing w:line="360" w:lineRule="auto"/>
              <w:jc w:val="center"/>
              <w:rPr>
                <w:rFonts w:ascii="宋体" w:hAnsi="宋体" w:cs="宋体"/>
                <w:szCs w:val="21"/>
              </w:rPr>
            </w:pPr>
          </w:p>
        </w:tc>
        <w:tc>
          <w:tcPr>
            <w:tcW w:w="2018" w:type="dxa"/>
            <w:vAlign w:val="center"/>
          </w:tcPr>
          <w:p>
            <w:pPr>
              <w:spacing w:line="360" w:lineRule="auto"/>
              <w:jc w:val="center"/>
              <w:rPr>
                <w:rFonts w:ascii="宋体" w:hAnsi="宋体" w:cs="宋体"/>
                <w:szCs w:val="21"/>
              </w:rPr>
            </w:pPr>
          </w:p>
        </w:tc>
        <w:tc>
          <w:tcPr>
            <w:tcW w:w="2254" w:type="dxa"/>
            <w:vAlign w:val="center"/>
          </w:tcPr>
          <w:p>
            <w:pPr>
              <w:spacing w:line="360" w:lineRule="auto"/>
              <w:jc w:val="center"/>
              <w:rPr>
                <w:rFonts w:ascii="宋体" w:hAnsi="宋体" w:cs="宋体"/>
                <w:szCs w:val="21"/>
              </w:rPr>
            </w:pPr>
          </w:p>
        </w:tc>
        <w:tc>
          <w:tcPr>
            <w:tcW w:w="2015" w:type="dxa"/>
            <w:vAlign w:val="center"/>
          </w:tcPr>
          <w:p>
            <w:pPr>
              <w:spacing w:line="360" w:lineRule="auto"/>
              <w:jc w:val="center"/>
              <w:rPr>
                <w:rFonts w:ascii="宋体" w:hAnsi="宋体" w:cs="宋体"/>
                <w:szCs w:val="21"/>
              </w:rPr>
            </w:pPr>
          </w:p>
        </w:tc>
        <w:tc>
          <w:tcPr>
            <w:tcW w:w="1403" w:type="dxa"/>
            <w:vAlign w:val="center"/>
          </w:tcPr>
          <w:p>
            <w:pPr>
              <w:spacing w:line="360" w:lineRule="auto"/>
              <w:jc w:val="center"/>
              <w:rPr>
                <w:rFonts w:ascii="宋体" w:hAnsi="宋体" w:cs="宋体"/>
                <w:szCs w:val="21"/>
              </w:rPr>
            </w:pPr>
          </w:p>
        </w:tc>
      </w:tr>
    </w:tbl>
    <w:p>
      <w:pPr>
        <w:spacing w:line="360" w:lineRule="auto"/>
        <w:ind w:firstLine="420" w:firstLineChars="175"/>
        <w:rPr>
          <w:rFonts w:hint="eastAsia" w:ascii="宋体" w:hAnsi="宋体" w:eastAsia="宋体" w:cs="宋体"/>
          <w:szCs w:val="21"/>
        </w:rPr>
      </w:pPr>
      <w:r>
        <w:rPr>
          <w:rFonts w:hint="eastAsia" w:ascii="宋体" w:hAnsi="宋体" w:eastAsia="宋体" w:cs="宋体"/>
          <w:szCs w:val="21"/>
        </w:rPr>
        <w:t>注：（1）供应商应对照第三章《项目采购需求》中所列技术参数、性能指标要求逐条对应填报</w:t>
      </w:r>
      <w:r>
        <w:rPr>
          <w:rFonts w:hint="eastAsia" w:ascii="宋体" w:hAnsi="宋体" w:eastAsia="宋体" w:cs="宋体"/>
          <w:szCs w:val="21"/>
          <w:lang w:val="en-US" w:eastAsia="zh-CN"/>
        </w:rPr>
        <w:t>竞标</w:t>
      </w:r>
      <w:r>
        <w:rPr>
          <w:rFonts w:hint="eastAsia" w:ascii="宋体" w:hAnsi="宋体" w:eastAsia="宋体" w:cs="宋体"/>
          <w:szCs w:val="21"/>
        </w:rPr>
        <w:t>货物</w:t>
      </w:r>
      <w:r>
        <w:rPr>
          <w:rFonts w:hint="eastAsia" w:ascii="宋体" w:hAnsi="宋体" w:eastAsia="宋体" w:cs="宋体"/>
          <w:szCs w:val="21"/>
          <w:lang w:eastAsia="zh-CN"/>
        </w:rPr>
        <w:t>（</w:t>
      </w:r>
      <w:r>
        <w:rPr>
          <w:rFonts w:hint="eastAsia" w:ascii="宋体" w:hAnsi="宋体" w:eastAsia="宋体" w:cs="宋体"/>
          <w:szCs w:val="21"/>
          <w:lang w:val="en-US" w:eastAsia="zh-CN"/>
        </w:rPr>
        <w:t>服务</w:t>
      </w:r>
      <w:r>
        <w:rPr>
          <w:rFonts w:hint="eastAsia" w:ascii="宋体" w:hAnsi="宋体" w:eastAsia="宋体" w:cs="宋体"/>
          <w:szCs w:val="21"/>
          <w:lang w:eastAsia="zh-CN"/>
        </w:rPr>
        <w:t>）</w:t>
      </w:r>
      <w:r>
        <w:rPr>
          <w:rFonts w:hint="eastAsia" w:ascii="宋体" w:hAnsi="宋体" w:eastAsia="宋体" w:cs="宋体"/>
          <w:szCs w:val="21"/>
        </w:rPr>
        <w:t>的技术参数、性能指标等承诺，并在“偏离情况”栏注明“正偏离”、“负偏离”或“无偏离”，当出现“正偏离”情况时应详细填写偏离情况说明及提供相应有效证明材料。</w:t>
      </w:r>
    </w:p>
    <w:p>
      <w:pPr>
        <w:spacing w:line="360" w:lineRule="auto"/>
        <w:ind w:firstLine="420" w:firstLineChars="175"/>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竞</w:t>
      </w:r>
      <w:r>
        <w:rPr>
          <w:rFonts w:hint="eastAsia" w:ascii="宋体" w:hAnsi="宋体" w:eastAsia="宋体" w:cs="宋体"/>
          <w:szCs w:val="21"/>
        </w:rPr>
        <w:t>标技术参数性能指标与采购要求相同的为无偏离，高于采购要求的为正偏离，低于采购要求的为负偏离。</w:t>
      </w:r>
    </w:p>
    <w:p>
      <w:pPr>
        <w:spacing w:line="500" w:lineRule="exact"/>
        <w:ind w:firstLine="3410" w:firstLineChars="1550"/>
        <w:rPr>
          <w:rFonts w:ascii="宋体" w:hAnsi="宋体" w:cs="宋体"/>
          <w:sz w:val="22"/>
          <w:szCs w:val="22"/>
        </w:rPr>
      </w:pPr>
    </w:p>
    <w:p>
      <w:pPr>
        <w:spacing w:line="500" w:lineRule="exact"/>
        <w:ind w:firstLine="1760" w:firstLineChars="800"/>
        <w:rPr>
          <w:rFonts w:ascii="宋体" w:hAnsi="宋体" w:cs="宋体"/>
          <w:sz w:val="22"/>
          <w:szCs w:val="22"/>
        </w:rPr>
      </w:pPr>
      <w:r>
        <w:rPr>
          <w:rFonts w:hint="eastAsia" w:ascii="宋体" w:hAnsi="宋体" w:cs="宋体"/>
          <w:sz w:val="22"/>
          <w:szCs w:val="22"/>
        </w:rPr>
        <w:t>供应商名称（牵头方全称并加盖CA电子签章）：</w:t>
      </w:r>
      <w:r>
        <w:rPr>
          <w:rFonts w:hint="eastAsia" w:ascii="宋体" w:hAnsi="宋体" w:cs="宋体"/>
          <w:sz w:val="22"/>
          <w:szCs w:val="22"/>
          <w:u w:val="single"/>
        </w:rPr>
        <w:t xml:space="preserve">                </w:t>
      </w:r>
    </w:p>
    <w:p>
      <w:pPr>
        <w:spacing w:line="500" w:lineRule="exact"/>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jc w:val="right"/>
        <w:rPr>
          <w:rFonts w:hAnsi="宋体" w:cs="宋体"/>
          <w:sz w:val="22"/>
          <w:szCs w:val="22"/>
        </w:rPr>
      </w:pPr>
      <w:r>
        <w:rPr>
          <w:rFonts w:hint="eastAsia" w:hAnsi="宋体" w:cs="宋体"/>
          <w:sz w:val="22"/>
          <w:szCs w:val="22"/>
        </w:rPr>
        <w:t>日期：  年  月  日</w:t>
      </w:r>
    </w:p>
    <w:p>
      <w:pPr>
        <w:pStyle w:val="15"/>
        <w:spacing w:line="500" w:lineRule="exact"/>
        <w:rPr>
          <w:rFonts w:hAnsi="宋体" w:cs="宋体"/>
          <w:sz w:val="22"/>
          <w:szCs w:val="22"/>
        </w:rPr>
      </w:pPr>
    </w:p>
    <w:p>
      <w:pPr>
        <w:spacing w:line="360" w:lineRule="auto"/>
        <w:outlineLvl w:val="2"/>
        <w:rPr>
          <w:rFonts w:ascii="宋体" w:hAnsi="宋体" w:cs="宋体"/>
          <w:b/>
          <w:bCs/>
          <w:szCs w:val="21"/>
        </w:rPr>
      </w:pPr>
      <w:r>
        <w:rPr>
          <w:rFonts w:hint="eastAsia" w:hAnsi="宋体" w:cs="宋体"/>
          <w:sz w:val="22"/>
          <w:szCs w:val="22"/>
        </w:rPr>
        <w:br w:type="page"/>
      </w:r>
      <w:bookmarkStart w:id="301" w:name="_Toc28214"/>
      <w:bookmarkStart w:id="302" w:name="_Toc24915"/>
      <w:bookmarkStart w:id="303" w:name="_Toc5091"/>
      <w:bookmarkStart w:id="304" w:name="_Toc15345"/>
      <w:bookmarkStart w:id="305" w:name="_Toc777"/>
      <w:bookmarkStart w:id="306" w:name="_Toc11008"/>
      <w:bookmarkStart w:id="307" w:name="_Toc20100"/>
      <w:bookmarkStart w:id="308" w:name="_Toc17768"/>
      <w:bookmarkStart w:id="309" w:name="_Toc9609"/>
      <w:bookmarkStart w:id="310" w:name="_Toc3908"/>
      <w:r>
        <w:rPr>
          <w:rFonts w:hint="eastAsia" w:hAnsi="宋体" w:cs="宋体"/>
          <w:b/>
          <w:bCs/>
          <w:sz w:val="22"/>
          <w:szCs w:val="22"/>
        </w:rPr>
        <w:t>二</w:t>
      </w:r>
      <w:r>
        <w:rPr>
          <w:rFonts w:hint="eastAsia" w:ascii="宋体" w:hAnsi="宋体" w:cs="宋体"/>
          <w:b/>
          <w:bCs/>
          <w:szCs w:val="21"/>
        </w:rPr>
        <w:t>、项目服务方案</w:t>
      </w:r>
      <w:bookmarkEnd w:id="301"/>
      <w:bookmarkEnd w:id="302"/>
      <w:bookmarkEnd w:id="303"/>
      <w:bookmarkEnd w:id="304"/>
      <w:bookmarkEnd w:id="305"/>
      <w:bookmarkEnd w:id="306"/>
      <w:bookmarkEnd w:id="307"/>
      <w:bookmarkEnd w:id="308"/>
      <w:bookmarkEnd w:id="309"/>
      <w:bookmarkEnd w:id="310"/>
    </w:p>
    <w:p>
      <w:pPr>
        <w:spacing w:line="360" w:lineRule="auto"/>
        <w:rPr>
          <w:rFonts w:ascii="宋体" w:hAnsi="宋体" w:cs="宋体"/>
          <w:b/>
          <w:bCs/>
          <w:szCs w:val="21"/>
        </w:rPr>
      </w:pPr>
      <w:bookmarkStart w:id="311" w:name="_Toc542"/>
      <w:bookmarkStart w:id="312" w:name="_Toc5878"/>
      <w:bookmarkStart w:id="313" w:name="_Toc2189"/>
      <w:bookmarkStart w:id="314" w:name="_Toc10054"/>
      <w:bookmarkStart w:id="315" w:name="_Toc12191"/>
      <w:bookmarkStart w:id="316" w:name="_Toc31046"/>
      <w:bookmarkStart w:id="317" w:name="_Toc7163"/>
      <w:bookmarkStart w:id="318" w:name="_Toc9831"/>
      <w:r>
        <w:rPr>
          <w:rFonts w:hint="eastAsia" w:ascii="宋体" w:hAnsi="宋体" w:cs="宋体"/>
          <w:b/>
          <w:bCs/>
          <w:szCs w:val="21"/>
        </w:rPr>
        <w:t>供应商可根据采购需求及评分标准自行编写，内容应当真实、诚信，格式自拟。</w:t>
      </w:r>
      <w:bookmarkEnd w:id="311"/>
      <w:bookmarkEnd w:id="312"/>
      <w:bookmarkEnd w:id="313"/>
      <w:bookmarkEnd w:id="314"/>
      <w:bookmarkEnd w:id="315"/>
      <w:bookmarkEnd w:id="316"/>
      <w:bookmarkEnd w:id="317"/>
      <w:bookmarkEnd w:id="318"/>
    </w:p>
    <w:p>
      <w:pPr>
        <w:pStyle w:val="14"/>
        <w:rPr>
          <w:rFonts w:ascii="宋体" w:hAnsi="宋体" w:cs="宋体"/>
          <w:b/>
          <w:bCs/>
          <w:szCs w:val="21"/>
        </w:rPr>
      </w:pPr>
    </w:p>
    <w:p>
      <w:pPr>
        <w:rPr>
          <w:rFonts w:ascii="宋体" w:hAnsi="宋体" w:cs="宋体"/>
          <w:b/>
          <w:bCs/>
          <w:szCs w:val="21"/>
        </w:rPr>
      </w:pPr>
    </w:p>
    <w:p/>
    <w:p>
      <w:pPr>
        <w:spacing w:line="500" w:lineRule="exact"/>
        <w:ind w:firstLine="1760" w:firstLineChars="800"/>
        <w:rPr>
          <w:rFonts w:ascii="宋体" w:hAnsi="宋体" w:cs="宋体"/>
          <w:sz w:val="22"/>
          <w:szCs w:val="22"/>
        </w:rPr>
      </w:pPr>
      <w:r>
        <w:rPr>
          <w:rFonts w:hint="eastAsia" w:ascii="宋体" w:hAnsi="宋体" w:cs="宋体"/>
          <w:sz w:val="22"/>
          <w:szCs w:val="22"/>
        </w:rPr>
        <w:t>供应商名称（牵头方全称并加盖CA电子签章）：</w:t>
      </w:r>
      <w:r>
        <w:rPr>
          <w:rFonts w:hint="eastAsia" w:ascii="宋体" w:hAnsi="宋体" w:cs="宋体"/>
          <w:sz w:val="22"/>
          <w:szCs w:val="22"/>
          <w:u w:val="single"/>
        </w:rPr>
        <w:t xml:space="preserve">                </w:t>
      </w:r>
    </w:p>
    <w:p>
      <w:pPr>
        <w:spacing w:line="500" w:lineRule="exact"/>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p>
    <w:p>
      <w:pPr>
        <w:pStyle w:val="15"/>
        <w:spacing w:line="500" w:lineRule="exact"/>
        <w:jc w:val="right"/>
        <w:rPr>
          <w:rFonts w:hAnsi="宋体" w:cs="宋体"/>
          <w:b/>
          <w:bCs/>
          <w:szCs w:val="21"/>
        </w:rPr>
      </w:pPr>
      <w:r>
        <w:rPr>
          <w:rFonts w:hint="eastAsia" w:hAnsi="宋体" w:cs="宋体"/>
          <w:sz w:val="22"/>
          <w:szCs w:val="22"/>
        </w:rPr>
        <w:t>日期：  年  月  日</w:t>
      </w:r>
    </w:p>
    <w:p>
      <w:pPr>
        <w:spacing w:line="360" w:lineRule="auto"/>
        <w:outlineLvl w:val="2"/>
        <w:rPr>
          <w:rFonts w:ascii="宋体" w:hAnsi="宋体" w:cs="宋体"/>
          <w:b/>
          <w:bCs/>
          <w:szCs w:val="21"/>
        </w:rPr>
      </w:pPr>
      <w:bookmarkStart w:id="319" w:name="_Toc23503"/>
      <w:bookmarkStart w:id="320" w:name="_Toc30544"/>
      <w:bookmarkStart w:id="321" w:name="_Toc31316"/>
      <w:bookmarkStart w:id="322" w:name="_Toc10493"/>
      <w:bookmarkStart w:id="323" w:name="_Toc21344"/>
      <w:bookmarkStart w:id="324" w:name="_Toc7663"/>
      <w:bookmarkStart w:id="325" w:name="_Toc5466"/>
      <w:bookmarkStart w:id="326" w:name="_Toc26860"/>
      <w:r>
        <w:rPr>
          <w:rFonts w:hint="eastAsia" w:ascii="宋体" w:hAnsi="宋体" w:cs="宋体"/>
          <w:b/>
          <w:bCs/>
          <w:szCs w:val="21"/>
        </w:rPr>
        <w:br w:type="page"/>
      </w:r>
      <w:bookmarkStart w:id="327" w:name="_Toc13960"/>
      <w:bookmarkStart w:id="328" w:name="_Toc27359"/>
      <w:r>
        <w:rPr>
          <w:rFonts w:hint="eastAsia" w:ascii="宋体" w:hAnsi="宋体" w:cs="宋体"/>
          <w:b/>
          <w:bCs/>
          <w:szCs w:val="21"/>
        </w:rPr>
        <w:t>三、服务承诺书</w:t>
      </w:r>
      <w:bookmarkEnd w:id="319"/>
      <w:bookmarkEnd w:id="320"/>
      <w:bookmarkEnd w:id="321"/>
      <w:bookmarkEnd w:id="322"/>
      <w:bookmarkEnd w:id="323"/>
      <w:bookmarkEnd w:id="324"/>
      <w:bookmarkEnd w:id="325"/>
      <w:bookmarkEnd w:id="326"/>
      <w:bookmarkEnd w:id="327"/>
      <w:bookmarkEnd w:id="328"/>
    </w:p>
    <w:p>
      <w:pPr>
        <w:pStyle w:val="15"/>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第1条  对合同条款、付款方式全部予以响应。</w:t>
      </w:r>
    </w:p>
    <w:p>
      <w:pPr>
        <w:pStyle w:val="1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第2条 （由供应商按第三章《项目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15"/>
        <w:spacing w:line="360" w:lineRule="auto"/>
        <w:ind w:firstLine="480" w:firstLineChars="200"/>
        <w:rPr>
          <w:rFonts w:hint="eastAsia" w:ascii="宋体" w:hAnsi="宋体" w:eastAsia="宋体" w:cs="宋体"/>
          <w:sz w:val="24"/>
          <w:szCs w:val="24"/>
        </w:rPr>
      </w:pPr>
    </w:p>
    <w:p>
      <w:pPr>
        <w:pStyle w:val="15"/>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备注：以上为服务承诺格式，第1条为供应商必须列明，其余条款供应商可根据实际情况一一列明。</w:t>
      </w:r>
    </w:p>
    <w:p>
      <w:pPr>
        <w:spacing w:line="360" w:lineRule="auto"/>
        <w:rPr>
          <w:rFonts w:hint="eastAsia" w:ascii="宋体" w:hAnsi="宋体" w:eastAsia="宋体" w:cs="宋体"/>
          <w:b/>
          <w:bCs/>
          <w:sz w:val="24"/>
          <w:szCs w:val="24"/>
        </w:rPr>
      </w:pPr>
    </w:p>
    <w:p>
      <w:pPr>
        <w:spacing w:line="500" w:lineRule="exact"/>
        <w:ind w:firstLine="1200" w:firstLineChars="500"/>
        <w:rPr>
          <w:rFonts w:hint="eastAsia" w:ascii="宋体" w:hAnsi="宋体" w:eastAsia="宋体" w:cs="宋体"/>
          <w:sz w:val="24"/>
          <w:szCs w:val="24"/>
          <w:u w:val="single"/>
        </w:rPr>
      </w:pPr>
      <w:r>
        <w:rPr>
          <w:rFonts w:hint="eastAsia" w:ascii="宋体" w:hAnsi="宋体" w:eastAsia="宋体" w:cs="宋体"/>
          <w:sz w:val="24"/>
          <w:szCs w:val="24"/>
        </w:rPr>
        <w:t>供应商名称（牵头方全称并加盖CA电子签章）：</w:t>
      </w:r>
      <w:r>
        <w:rPr>
          <w:rFonts w:hint="eastAsia" w:ascii="宋体" w:hAnsi="宋体" w:eastAsia="宋体" w:cs="宋体"/>
          <w:sz w:val="24"/>
          <w:szCs w:val="24"/>
          <w:u w:val="single"/>
        </w:rPr>
        <w:t xml:space="preserve">                </w:t>
      </w:r>
    </w:p>
    <w:p>
      <w:pPr>
        <w:spacing w:line="500" w:lineRule="exact"/>
        <w:rPr>
          <w:rFonts w:hint="eastAsia" w:ascii="宋体" w:hAnsi="宋体" w:eastAsia="宋体" w:cs="宋体"/>
          <w:sz w:val="24"/>
          <w:szCs w:val="24"/>
        </w:rPr>
      </w:pPr>
      <w:r>
        <w:rPr>
          <w:rFonts w:hint="eastAsia" w:ascii="宋体" w:hAnsi="宋体" w:eastAsia="宋体" w:cs="宋体"/>
          <w:sz w:val="24"/>
          <w:szCs w:val="24"/>
        </w:rPr>
        <w:t>法定代表人（负责人/自然人）或委托代理人（签字或加盖CA电子签字章）：</w:t>
      </w:r>
      <w:r>
        <w:rPr>
          <w:rFonts w:hint="eastAsia" w:ascii="宋体" w:hAnsi="宋体" w:eastAsia="宋体" w:cs="宋体"/>
          <w:sz w:val="24"/>
          <w:szCs w:val="24"/>
          <w:u w:val="single"/>
        </w:rPr>
        <w:t xml:space="preserve">                  </w:t>
      </w:r>
    </w:p>
    <w:p>
      <w:pPr>
        <w:pStyle w:val="15"/>
        <w:spacing w:line="500" w:lineRule="exact"/>
        <w:jc w:val="right"/>
        <w:rPr>
          <w:rFonts w:hint="eastAsia" w:ascii="宋体" w:hAnsi="宋体" w:eastAsia="宋体" w:cs="宋体"/>
          <w:b/>
          <w:bCs/>
          <w:sz w:val="24"/>
          <w:szCs w:val="24"/>
        </w:rPr>
      </w:pPr>
      <w:r>
        <w:rPr>
          <w:rFonts w:hint="eastAsia" w:ascii="宋体" w:hAnsi="宋体" w:eastAsia="宋体" w:cs="宋体"/>
          <w:sz w:val="24"/>
          <w:szCs w:val="24"/>
        </w:rPr>
        <w:t>日期：  年  月  日</w:t>
      </w:r>
    </w:p>
    <w:p>
      <w:pPr>
        <w:spacing w:line="360" w:lineRule="auto"/>
        <w:rPr>
          <w:rFonts w:ascii="宋体" w:hAnsi="宋体" w:cs="宋体"/>
          <w:b/>
          <w:bCs/>
          <w:szCs w:val="21"/>
        </w:rPr>
      </w:pPr>
    </w:p>
    <w:p>
      <w:pPr>
        <w:spacing w:line="360" w:lineRule="auto"/>
        <w:outlineLvl w:val="2"/>
        <w:rPr>
          <w:rFonts w:ascii="宋体" w:hAnsi="宋体" w:cs="宋体"/>
          <w:b/>
          <w:bCs/>
          <w:szCs w:val="21"/>
        </w:rPr>
      </w:pPr>
      <w:r>
        <w:rPr>
          <w:rFonts w:hint="eastAsia" w:ascii="宋体" w:hAnsi="宋体" w:cs="宋体"/>
          <w:b/>
          <w:bCs/>
          <w:szCs w:val="21"/>
        </w:rPr>
        <w:br w:type="page"/>
      </w:r>
      <w:bookmarkStart w:id="329" w:name="_Toc30738"/>
      <w:bookmarkStart w:id="330" w:name="_Toc11570"/>
      <w:bookmarkStart w:id="331" w:name="_Toc9419"/>
      <w:bookmarkStart w:id="332" w:name="_Toc13164"/>
      <w:bookmarkStart w:id="333" w:name="_Toc32757"/>
      <w:bookmarkStart w:id="334" w:name="_Toc25145"/>
      <w:bookmarkStart w:id="335" w:name="_Toc3566"/>
      <w:bookmarkStart w:id="336" w:name="_Toc4294"/>
      <w:bookmarkStart w:id="337" w:name="_Toc7489"/>
      <w:bookmarkStart w:id="338" w:name="_Toc31249"/>
      <w:r>
        <w:rPr>
          <w:rFonts w:hint="eastAsia" w:ascii="宋体" w:hAnsi="宋体" w:cs="宋体"/>
          <w:b/>
          <w:bCs/>
          <w:szCs w:val="21"/>
        </w:rPr>
        <w:t>四、拟投入本项目服务人员一览表</w:t>
      </w:r>
      <w:bookmarkEnd w:id="329"/>
      <w:bookmarkEnd w:id="330"/>
      <w:bookmarkEnd w:id="331"/>
      <w:bookmarkEnd w:id="332"/>
      <w:bookmarkEnd w:id="333"/>
      <w:bookmarkEnd w:id="334"/>
      <w:bookmarkEnd w:id="335"/>
      <w:bookmarkEnd w:id="336"/>
      <w:bookmarkEnd w:id="337"/>
      <w:bookmarkEnd w:id="338"/>
    </w:p>
    <w:p>
      <w:pPr>
        <w:tabs>
          <w:tab w:val="left" w:pos="1680"/>
        </w:tabs>
        <w:spacing w:line="500" w:lineRule="exact"/>
        <w:jc w:val="center"/>
        <w:rPr>
          <w:rFonts w:ascii="宋体" w:hAnsi="宋体" w:cs="宋体"/>
          <w:b/>
          <w:sz w:val="32"/>
          <w:szCs w:val="32"/>
        </w:rPr>
      </w:pPr>
      <w:r>
        <w:rPr>
          <w:rFonts w:hint="eastAsia" w:ascii="宋体" w:hAnsi="宋体" w:cs="宋体"/>
          <w:b/>
          <w:sz w:val="28"/>
          <w:szCs w:val="28"/>
        </w:rPr>
        <w:t>拟投入本项目服务人员一览表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62"/>
        <w:gridCol w:w="1066"/>
        <w:gridCol w:w="1169"/>
        <w:gridCol w:w="992"/>
        <w:gridCol w:w="1881"/>
        <w:gridCol w:w="958"/>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8" w:type="dxa"/>
            <w:vAlign w:val="center"/>
          </w:tcPr>
          <w:p>
            <w:pPr>
              <w:jc w:val="center"/>
              <w:rPr>
                <w:rFonts w:ascii="宋体" w:hAnsi="宋体" w:cs="宋体"/>
                <w:b/>
                <w:szCs w:val="21"/>
              </w:rPr>
            </w:pPr>
            <w:r>
              <w:rPr>
                <w:rFonts w:hint="eastAsia" w:ascii="宋体" w:hAnsi="宋体" w:cs="宋体"/>
                <w:b/>
                <w:szCs w:val="21"/>
              </w:rPr>
              <w:t>序号</w:t>
            </w:r>
          </w:p>
        </w:tc>
        <w:tc>
          <w:tcPr>
            <w:tcW w:w="1362" w:type="dxa"/>
            <w:vAlign w:val="center"/>
          </w:tcPr>
          <w:p>
            <w:pPr>
              <w:jc w:val="center"/>
              <w:rPr>
                <w:rFonts w:ascii="宋体" w:hAnsi="宋体" w:cs="宋体"/>
                <w:b/>
                <w:szCs w:val="21"/>
              </w:rPr>
            </w:pPr>
            <w:r>
              <w:rPr>
                <w:rFonts w:hint="eastAsia" w:ascii="宋体" w:hAnsi="宋体" w:cs="宋体"/>
                <w:b/>
                <w:szCs w:val="21"/>
              </w:rPr>
              <w:t>姓名</w:t>
            </w:r>
          </w:p>
        </w:tc>
        <w:tc>
          <w:tcPr>
            <w:tcW w:w="1066" w:type="dxa"/>
            <w:vAlign w:val="center"/>
          </w:tcPr>
          <w:p>
            <w:pPr>
              <w:jc w:val="center"/>
              <w:rPr>
                <w:rFonts w:ascii="宋体" w:hAnsi="宋体" w:cs="宋体"/>
                <w:b/>
                <w:szCs w:val="21"/>
              </w:rPr>
            </w:pPr>
            <w:r>
              <w:rPr>
                <w:rFonts w:hint="eastAsia" w:ascii="宋体" w:hAnsi="宋体" w:cs="宋体"/>
                <w:b/>
                <w:szCs w:val="21"/>
              </w:rPr>
              <w:t>性别</w:t>
            </w:r>
          </w:p>
        </w:tc>
        <w:tc>
          <w:tcPr>
            <w:tcW w:w="1169" w:type="dxa"/>
            <w:vAlign w:val="center"/>
          </w:tcPr>
          <w:p>
            <w:pPr>
              <w:jc w:val="center"/>
              <w:rPr>
                <w:rFonts w:ascii="宋体" w:hAnsi="宋体" w:cs="宋体"/>
                <w:b/>
                <w:szCs w:val="21"/>
              </w:rPr>
            </w:pPr>
            <w:r>
              <w:rPr>
                <w:rFonts w:hint="eastAsia" w:ascii="宋体" w:hAnsi="宋体" w:cs="宋体"/>
                <w:b/>
                <w:szCs w:val="21"/>
              </w:rPr>
              <w:t>出生日期</w:t>
            </w:r>
          </w:p>
        </w:tc>
        <w:tc>
          <w:tcPr>
            <w:tcW w:w="992" w:type="dxa"/>
            <w:vAlign w:val="center"/>
          </w:tcPr>
          <w:p>
            <w:pPr>
              <w:jc w:val="center"/>
              <w:rPr>
                <w:rFonts w:ascii="宋体" w:hAnsi="宋体" w:cs="宋体"/>
                <w:b/>
                <w:szCs w:val="21"/>
              </w:rPr>
            </w:pPr>
            <w:r>
              <w:rPr>
                <w:rFonts w:hint="eastAsia" w:ascii="宋体" w:hAnsi="宋体" w:cs="宋体"/>
                <w:b/>
                <w:szCs w:val="21"/>
              </w:rPr>
              <w:t>学历</w:t>
            </w:r>
          </w:p>
        </w:tc>
        <w:tc>
          <w:tcPr>
            <w:tcW w:w="1881" w:type="dxa"/>
            <w:vAlign w:val="center"/>
          </w:tcPr>
          <w:p>
            <w:pPr>
              <w:jc w:val="center"/>
              <w:rPr>
                <w:rFonts w:ascii="宋体" w:hAnsi="宋体" w:cs="宋体"/>
                <w:b/>
                <w:szCs w:val="21"/>
              </w:rPr>
            </w:pPr>
            <w:r>
              <w:rPr>
                <w:rFonts w:hint="eastAsia" w:ascii="宋体" w:hAnsi="宋体" w:cs="宋体"/>
                <w:b/>
                <w:szCs w:val="21"/>
              </w:rPr>
              <w:t>拟在本项目中担任职务</w:t>
            </w:r>
          </w:p>
        </w:tc>
        <w:tc>
          <w:tcPr>
            <w:tcW w:w="958" w:type="dxa"/>
            <w:vAlign w:val="center"/>
          </w:tcPr>
          <w:p>
            <w:pPr>
              <w:jc w:val="center"/>
              <w:rPr>
                <w:rFonts w:ascii="宋体" w:hAnsi="宋体" w:cs="宋体"/>
                <w:b/>
                <w:szCs w:val="21"/>
              </w:rPr>
            </w:pPr>
            <w:r>
              <w:rPr>
                <w:rFonts w:hint="eastAsia" w:ascii="宋体" w:hAnsi="宋体" w:cs="宋体"/>
                <w:b/>
                <w:szCs w:val="21"/>
              </w:rPr>
              <w:t>职称</w:t>
            </w:r>
          </w:p>
        </w:tc>
        <w:tc>
          <w:tcPr>
            <w:tcW w:w="651" w:type="dxa"/>
            <w:vAlign w:val="center"/>
          </w:tcPr>
          <w:p>
            <w:pPr>
              <w:jc w:val="center"/>
              <w:rPr>
                <w:rFonts w:ascii="宋体" w:hAnsi="宋体" w:cs="宋体"/>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pPr>
              <w:jc w:val="center"/>
              <w:rPr>
                <w:rFonts w:ascii="宋体" w:hAnsi="宋体" w:cs="宋体"/>
                <w:szCs w:val="21"/>
              </w:rPr>
            </w:pPr>
            <w:r>
              <w:rPr>
                <w:rFonts w:hint="eastAsia" w:ascii="宋体" w:hAnsi="宋体" w:cs="宋体"/>
                <w:szCs w:val="21"/>
              </w:rPr>
              <w:t>1</w:t>
            </w:r>
          </w:p>
        </w:tc>
        <w:tc>
          <w:tcPr>
            <w:tcW w:w="1362" w:type="dxa"/>
            <w:vAlign w:val="center"/>
          </w:tcPr>
          <w:p>
            <w:pPr>
              <w:jc w:val="center"/>
              <w:rPr>
                <w:rFonts w:ascii="宋体" w:hAnsi="宋体" w:cs="宋体"/>
                <w:szCs w:val="21"/>
              </w:rPr>
            </w:pPr>
          </w:p>
        </w:tc>
        <w:tc>
          <w:tcPr>
            <w:tcW w:w="1066" w:type="dxa"/>
            <w:vAlign w:val="center"/>
          </w:tcPr>
          <w:p>
            <w:pPr>
              <w:jc w:val="center"/>
              <w:rPr>
                <w:rFonts w:ascii="宋体" w:hAnsi="宋体" w:cs="宋体"/>
                <w:szCs w:val="21"/>
              </w:rPr>
            </w:pPr>
          </w:p>
        </w:tc>
        <w:tc>
          <w:tcPr>
            <w:tcW w:w="1169"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881" w:type="dxa"/>
            <w:vAlign w:val="center"/>
          </w:tcPr>
          <w:p>
            <w:pPr>
              <w:jc w:val="center"/>
              <w:rPr>
                <w:rFonts w:ascii="宋体" w:hAnsi="宋体" w:cs="宋体"/>
                <w:szCs w:val="21"/>
              </w:rPr>
            </w:pPr>
          </w:p>
        </w:tc>
        <w:tc>
          <w:tcPr>
            <w:tcW w:w="958"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18" w:type="dxa"/>
            <w:vAlign w:val="center"/>
          </w:tcPr>
          <w:p>
            <w:pPr>
              <w:jc w:val="center"/>
              <w:rPr>
                <w:rFonts w:ascii="宋体" w:hAnsi="宋体" w:cs="宋体"/>
                <w:szCs w:val="21"/>
              </w:rPr>
            </w:pPr>
            <w:r>
              <w:rPr>
                <w:rFonts w:hint="eastAsia" w:ascii="宋体" w:hAnsi="宋体" w:cs="宋体"/>
                <w:szCs w:val="21"/>
              </w:rPr>
              <w:t>2</w:t>
            </w:r>
          </w:p>
        </w:tc>
        <w:tc>
          <w:tcPr>
            <w:tcW w:w="1362" w:type="dxa"/>
            <w:vAlign w:val="center"/>
          </w:tcPr>
          <w:p>
            <w:pPr>
              <w:jc w:val="center"/>
              <w:rPr>
                <w:rFonts w:ascii="宋体" w:hAnsi="宋体" w:cs="宋体"/>
                <w:szCs w:val="21"/>
              </w:rPr>
            </w:pPr>
          </w:p>
        </w:tc>
        <w:tc>
          <w:tcPr>
            <w:tcW w:w="1066" w:type="dxa"/>
            <w:vAlign w:val="center"/>
          </w:tcPr>
          <w:p>
            <w:pPr>
              <w:jc w:val="center"/>
              <w:rPr>
                <w:rFonts w:ascii="宋体" w:hAnsi="宋体" w:cs="宋体"/>
                <w:szCs w:val="21"/>
              </w:rPr>
            </w:pPr>
          </w:p>
        </w:tc>
        <w:tc>
          <w:tcPr>
            <w:tcW w:w="1169"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881" w:type="dxa"/>
            <w:vAlign w:val="center"/>
          </w:tcPr>
          <w:p>
            <w:pPr>
              <w:jc w:val="center"/>
              <w:rPr>
                <w:rFonts w:ascii="宋体" w:hAnsi="宋体" w:cs="宋体"/>
                <w:szCs w:val="21"/>
              </w:rPr>
            </w:pPr>
          </w:p>
        </w:tc>
        <w:tc>
          <w:tcPr>
            <w:tcW w:w="958"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pPr>
              <w:jc w:val="center"/>
              <w:rPr>
                <w:rFonts w:ascii="宋体" w:hAnsi="宋体" w:cs="宋体"/>
                <w:szCs w:val="21"/>
              </w:rPr>
            </w:pPr>
            <w:r>
              <w:rPr>
                <w:rFonts w:hint="eastAsia" w:ascii="宋体" w:hAnsi="宋体" w:cs="宋体"/>
                <w:szCs w:val="21"/>
              </w:rPr>
              <w:t>3</w:t>
            </w:r>
          </w:p>
        </w:tc>
        <w:tc>
          <w:tcPr>
            <w:tcW w:w="1362" w:type="dxa"/>
            <w:vAlign w:val="center"/>
          </w:tcPr>
          <w:p>
            <w:pPr>
              <w:jc w:val="center"/>
              <w:rPr>
                <w:rFonts w:ascii="宋体" w:hAnsi="宋体" w:cs="宋体"/>
                <w:szCs w:val="21"/>
              </w:rPr>
            </w:pPr>
          </w:p>
        </w:tc>
        <w:tc>
          <w:tcPr>
            <w:tcW w:w="1066" w:type="dxa"/>
            <w:vAlign w:val="center"/>
          </w:tcPr>
          <w:p>
            <w:pPr>
              <w:jc w:val="center"/>
              <w:rPr>
                <w:rFonts w:ascii="宋体" w:hAnsi="宋体" w:cs="宋体"/>
                <w:szCs w:val="21"/>
              </w:rPr>
            </w:pPr>
          </w:p>
        </w:tc>
        <w:tc>
          <w:tcPr>
            <w:tcW w:w="1169"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881" w:type="dxa"/>
            <w:vAlign w:val="center"/>
          </w:tcPr>
          <w:p>
            <w:pPr>
              <w:jc w:val="center"/>
              <w:rPr>
                <w:rFonts w:ascii="宋体" w:hAnsi="宋体" w:cs="宋体"/>
                <w:szCs w:val="21"/>
              </w:rPr>
            </w:pPr>
          </w:p>
        </w:tc>
        <w:tc>
          <w:tcPr>
            <w:tcW w:w="958"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pPr>
              <w:jc w:val="center"/>
              <w:rPr>
                <w:rFonts w:ascii="宋体" w:hAnsi="宋体" w:cs="宋体"/>
                <w:szCs w:val="21"/>
              </w:rPr>
            </w:pPr>
            <w:r>
              <w:rPr>
                <w:rFonts w:hint="eastAsia" w:ascii="宋体" w:hAnsi="宋体" w:cs="宋体"/>
                <w:szCs w:val="21"/>
              </w:rPr>
              <w:t>4</w:t>
            </w:r>
          </w:p>
        </w:tc>
        <w:tc>
          <w:tcPr>
            <w:tcW w:w="1362" w:type="dxa"/>
            <w:vAlign w:val="center"/>
          </w:tcPr>
          <w:p>
            <w:pPr>
              <w:jc w:val="center"/>
              <w:rPr>
                <w:rFonts w:ascii="宋体" w:hAnsi="宋体" w:cs="宋体"/>
                <w:szCs w:val="21"/>
              </w:rPr>
            </w:pPr>
          </w:p>
        </w:tc>
        <w:tc>
          <w:tcPr>
            <w:tcW w:w="1066" w:type="dxa"/>
            <w:vAlign w:val="center"/>
          </w:tcPr>
          <w:p>
            <w:pPr>
              <w:jc w:val="center"/>
              <w:rPr>
                <w:rFonts w:ascii="宋体" w:hAnsi="宋体" w:cs="宋体"/>
                <w:szCs w:val="21"/>
              </w:rPr>
            </w:pPr>
          </w:p>
        </w:tc>
        <w:tc>
          <w:tcPr>
            <w:tcW w:w="1169"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881" w:type="dxa"/>
            <w:vAlign w:val="center"/>
          </w:tcPr>
          <w:p>
            <w:pPr>
              <w:jc w:val="center"/>
              <w:rPr>
                <w:rFonts w:ascii="宋体" w:hAnsi="宋体" w:cs="宋体"/>
                <w:szCs w:val="21"/>
              </w:rPr>
            </w:pPr>
          </w:p>
        </w:tc>
        <w:tc>
          <w:tcPr>
            <w:tcW w:w="958"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pPr>
              <w:jc w:val="center"/>
              <w:rPr>
                <w:rFonts w:ascii="宋体" w:hAnsi="宋体" w:cs="宋体"/>
                <w:szCs w:val="21"/>
              </w:rPr>
            </w:pPr>
            <w:r>
              <w:rPr>
                <w:rFonts w:hint="eastAsia" w:ascii="宋体" w:hAnsi="宋体" w:cs="宋体"/>
                <w:szCs w:val="21"/>
              </w:rPr>
              <w:t>5</w:t>
            </w:r>
          </w:p>
        </w:tc>
        <w:tc>
          <w:tcPr>
            <w:tcW w:w="1362" w:type="dxa"/>
            <w:vAlign w:val="center"/>
          </w:tcPr>
          <w:p>
            <w:pPr>
              <w:jc w:val="center"/>
              <w:rPr>
                <w:rFonts w:ascii="宋体" w:hAnsi="宋体" w:cs="宋体"/>
                <w:szCs w:val="21"/>
              </w:rPr>
            </w:pPr>
          </w:p>
        </w:tc>
        <w:tc>
          <w:tcPr>
            <w:tcW w:w="1066" w:type="dxa"/>
            <w:vAlign w:val="center"/>
          </w:tcPr>
          <w:p>
            <w:pPr>
              <w:jc w:val="center"/>
              <w:rPr>
                <w:rFonts w:ascii="宋体" w:hAnsi="宋体" w:cs="宋体"/>
                <w:szCs w:val="21"/>
              </w:rPr>
            </w:pPr>
          </w:p>
        </w:tc>
        <w:tc>
          <w:tcPr>
            <w:tcW w:w="1169"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881" w:type="dxa"/>
            <w:vAlign w:val="center"/>
          </w:tcPr>
          <w:p>
            <w:pPr>
              <w:jc w:val="center"/>
              <w:rPr>
                <w:rFonts w:ascii="宋体" w:hAnsi="宋体" w:cs="宋体"/>
                <w:szCs w:val="21"/>
              </w:rPr>
            </w:pPr>
          </w:p>
        </w:tc>
        <w:tc>
          <w:tcPr>
            <w:tcW w:w="958"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pPr>
              <w:jc w:val="center"/>
              <w:rPr>
                <w:rFonts w:ascii="宋体" w:hAnsi="宋体" w:cs="宋体"/>
                <w:szCs w:val="21"/>
              </w:rPr>
            </w:pPr>
            <w:r>
              <w:rPr>
                <w:rFonts w:hint="eastAsia" w:ascii="宋体" w:hAnsi="宋体" w:cs="宋体"/>
                <w:szCs w:val="21"/>
              </w:rPr>
              <w:t>...</w:t>
            </w:r>
          </w:p>
        </w:tc>
        <w:tc>
          <w:tcPr>
            <w:tcW w:w="1362" w:type="dxa"/>
            <w:vAlign w:val="center"/>
          </w:tcPr>
          <w:p>
            <w:pPr>
              <w:jc w:val="center"/>
              <w:rPr>
                <w:rFonts w:ascii="宋体" w:hAnsi="宋体" w:cs="宋体"/>
                <w:szCs w:val="21"/>
              </w:rPr>
            </w:pPr>
          </w:p>
        </w:tc>
        <w:tc>
          <w:tcPr>
            <w:tcW w:w="1066" w:type="dxa"/>
            <w:vAlign w:val="center"/>
          </w:tcPr>
          <w:p>
            <w:pPr>
              <w:jc w:val="center"/>
              <w:rPr>
                <w:rFonts w:ascii="宋体" w:hAnsi="宋体" w:cs="宋体"/>
                <w:szCs w:val="21"/>
              </w:rPr>
            </w:pPr>
          </w:p>
        </w:tc>
        <w:tc>
          <w:tcPr>
            <w:tcW w:w="1169"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881" w:type="dxa"/>
            <w:vAlign w:val="center"/>
          </w:tcPr>
          <w:p>
            <w:pPr>
              <w:jc w:val="center"/>
              <w:rPr>
                <w:rFonts w:ascii="宋体" w:hAnsi="宋体" w:cs="宋体"/>
                <w:szCs w:val="21"/>
              </w:rPr>
            </w:pPr>
          </w:p>
        </w:tc>
        <w:tc>
          <w:tcPr>
            <w:tcW w:w="958"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注： 1.本表格需要填写磋商供应商拟投入本项目负责人、专业负责人等主要人员的信息；</w:t>
      </w:r>
    </w:p>
    <w:p>
      <w:pPr>
        <w:spacing w:line="360" w:lineRule="auto"/>
        <w:ind w:firstLine="600" w:firstLineChars="250"/>
        <w:rPr>
          <w:rFonts w:ascii="宋体" w:hAnsi="宋体" w:cs="宋体"/>
          <w:szCs w:val="21"/>
        </w:rPr>
      </w:pPr>
      <w:r>
        <w:rPr>
          <w:rFonts w:hint="eastAsia" w:ascii="宋体" w:hAnsi="宋体" w:cs="宋体"/>
          <w:szCs w:val="21"/>
        </w:rPr>
        <w:t>2.本页不够请续表。</w:t>
      </w:r>
    </w:p>
    <w:p>
      <w:pPr>
        <w:spacing w:line="360" w:lineRule="auto"/>
        <w:ind w:firstLine="600" w:firstLineChars="250"/>
        <w:rPr>
          <w:rFonts w:ascii="宋体" w:hAnsi="宋体" w:cs="宋体"/>
        </w:rPr>
      </w:pPr>
      <w:r>
        <w:rPr>
          <w:rFonts w:hint="eastAsia" w:ascii="宋体" w:hAnsi="宋体" w:cs="宋体"/>
          <w:szCs w:val="21"/>
        </w:rPr>
        <w:t>3</w:t>
      </w:r>
      <w:r>
        <w:rPr>
          <w:rFonts w:ascii="宋体" w:hAnsi="宋体" w:cs="宋体"/>
          <w:szCs w:val="21"/>
        </w:rPr>
        <w:t>.</w:t>
      </w:r>
      <w:r>
        <w:rPr>
          <w:rFonts w:hint="eastAsia" w:ascii="宋体" w:hAnsi="宋体" w:cs="宋体"/>
          <w:szCs w:val="21"/>
        </w:rPr>
        <w:t>如本表不适合，</w:t>
      </w:r>
      <w:r>
        <w:rPr>
          <w:rFonts w:hint="eastAsia" w:ascii="宋体" w:hAnsi="宋体" w:cs="宋体"/>
          <w:szCs w:val="21"/>
          <w:lang w:val="en-US" w:eastAsia="zh-CN"/>
        </w:rPr>
        <w:t>供应商</w:t>
      </w:r>
      <w:r>
        <w:rPr>
          <w:rFonts w:hint="eastAsia" w:ascii="宋体" w:hAnsi="宋体" w:cs="宋体"/>
          <w:szCs w:val="21"/>
        </w:rPr>
        <w:t>可自拟格式。</w:t>
      </w:r>
    </w:p>
    <w:p>
      <w:pPr>
        <w:wordWrap w:val="0"/>
        <w:snapToGrid w:val="0"/>
        <w:spacing w:line="360" w:lineRule="auto"/>
        <w:jc w:val="right"/>
        <w:rPr>
          <w:rFonts w:ascii="宋体" w:hAnsi="宋体" w:cs="宋体"/>
          <w:kern w:val="0"/>
          <w:szCs w:val="21"/>
          <w:lang w:val="zh-CN"/>
        </w:rPr>
      </w:pPr>
    </w:p>
    <w:p>
      <w:pPr>
        <w:wordWrap w:val="0"/>
        <w:snapToGrid w:val="0"/>
        <w:spacing w:line="360" w:lineRule="auto"/>
        <w:jc w:val="right"/>
        <w:rPr>
          <w:rFonts w:ascii="宋体" w:hAnsi="宋体" w:cs="宋体"/>
          <w:kern w:val="0"/>
          <w:szCs w:val="21"/>
          <w:lang w:val="zh-CN"/>
        </w:rPr>
      </w:pPr>
    </w:p>
    <w:p>
      <w:pPr>
        <w:spacing w:line="500" w:lineRule="exact"/>
        <w:ind w:firstLine="1980" w:firstLineChars="900"/>
        <w:rPr>
          <w:rFonts w:ascii="宋体" w:hAnsi="宋体" w:cs="宋体"/>
          <w:sz w:val="22"/>
          <w:szCs w:val="22"/>
        </w:rPr>
      </w:pPr>
      <w:r>
        <w:rPr>
          <w:rFonts w:hint="eastAsia" w:ascii="宋体" w:hAnsi="宋体" w:cs="宋体"/>
          <w:sz w:val="22"/>
          <w:szCs w:val="22"/>
        </w:rPr>
        <w:t>供应商名称（牵头方全称并加盖CA电子签章）：</w:t>
      </w:r>
      <w:r>
        <w:rPr>
          <w:rFonts w:hint="eastAsia" w:ascii="宋体" w:hAnsi="宋体" w:cs="宋体"/>
          <w:sz w:val="22"/>
          <w:szCs w:val="22"/>
          <w:u w:val="single"/>
        </w:rPr>
        <w:t xml:space="preserve">                </w:t>
      </w:r>
    </w:p>
    <w:p>
      <w:pPr>
        <w:spacing w:line="500" w:lineRule="exact"/>
        <w:ind w:firstLine="440" w:firstLineChars="200"/>
        <w:rPr>
          <w:rFonts w:ascii="宋体" w:hAnsi="宋体" w:cs="宋体"/>
          <w:sz w:val="22"/>
          <w:szCs w:val="22"/>
        </w:rPr>
      </w:pPr>
      <w:r>
        <w:rPr>
          <w:rFonts w:hint="eastAsia" w:ascii="宋体" w:hAnsi="宋体" w:cs="宋体"/>
          <w:sz w:val="22"/>
          <w:szCs w:val="22"/>
        </w:rPr>
        <w:t>法定代表人（负责人/自然人）或委托代理人（签字或加盖CA电子签字章）：</w:t>
      </w:r>
      <w:r>
        <w:rPr>
          <w:rFonts w:hint="eastAsia" w:ascii="宋体" w:hAnsi="宋体" w:cs="宋体"/>
          <w:sz w:val="22"/>
          <w:szCs w:val="22"/>
          <w:u w:val="single"/>
        </w:rPr>
        <w:t xml:space="preserve">                 </w:t>
      </w:r>
    </w:p>
    <w:p>
      <w:pPr>
        <w:pStyle w:val="15"/>
        <w:spacing w:line="500" w:lineRule="exact"/>
        <w:jc w:val="right"/>
        <w:rPr>
          <w:rFonts w:hAnsi="宋体" w:cs="宋体"/>
          <w:b/>
          <w:bCs/>
          <w:szCs w:val="21"/>
        </w:rPr>
      </w:pPr>
      <w:r>
        <w:rPr>
          <w:rFonts w:hint="eastAsia" w:hAnsi="宋体" w:cs="宋体"/>
          <w:sz w:val="22"/>
          <w:szCs w:val="22"/>
        </w:rPr>
        <w:t>日期：  年  月  日</w:t>
      </w:r>
    </w:p>
    <w:p>
      <w:pPr>
        <w:rPr>
          <w:rFonts w:hint="eastAsia" w:ascii="宋体" w:hAnsi="宋体" w:cs="宋体"/>
          <w:b/>
          <w:bCs/>
          <w:szCs w:val="21"/>
        </w:rPr>
      </w:pPr>
      <w:r>
        <w:rPr>
          <w:rFonts w:hint="eastAsia" w:ascii="宋体" w:hAnsi="宋体" w:cs="宋体"/>
          <w:b/>
          <w:bCs/>
          <w:szCs w:val="21"/>
        </w:rPr>
        <w:br w:type="page"/>
      </w:r>
      <w:bookmarkStart w:id="339" w:name="_Toc14430"/>
      <w:bookmarkStart w:id="340" w:name="_Toc6029"/>
      <w:bookmarkStart w:id="341" w:name="_Toc13348"/>
      <w:bookmarkStart w:id="342" w:name="_Toc5134"/>
      <w:bookmarkStart w:id="343" w:name="_Toc27152"/>
      <w:bookmarkStart w:id="344" w:name="_Toc19413"/>
      <w:bookmarkStart w:id="345" w:name="_Toc22467"/>
      <w:bookmarkStart w:id="346" w:name="_Toc9374"/>
      <w:bookmarkStart w:id="347" w:name="_Toc25742"/>
      <w:bookmarkStart w:id="348" w:name="_Toc30658"/>
    </w:p>
    <w:p>
      <w:pPr>
        <w:spacing w:line="360" w:lineRule="auto"/>
        <w:outlineLvl w:val="2"/>
        <w:rPr>
          <w:rFonts w:ascii="宋体" w:hAnsi="宋体" w:cs="宋体"/>
          <w:b/>
          <w:bCs/>
          <w:szCs w:val="21"/>
        </w:rPr>
      </w:pPr>
      <w:r>
        <w:rPr>
          <w:rFonts w:hint="eastAsia" w:ascii="宋体" w:hAnsi="宋体" w:cs="宋体"/>
          <w:b/>
          <w:bCs/>
          <w:szCs w:val="21"/>
          <w:lang w:val="en-US" w:eastAsia="zh-CN"/>
        </w:rPr>
        <w:t>五</w:t>
      </w:r>
      <w:r>
        <w:rPr>
          <w:rFonts w:hint="eastAsia" w:ascii="宋体" w:hAnsi="宋体" w:cs="宋体"/>
          <w:b/>
          <w:bCs/>
          <w:szCs w:val="21"/>
        </w:rPr>
        <w:t>、供应商对本项目的合理化建议和改进措施</w:t>
      </w:r>
      <w:bookmarkEnd w:id="339"/>
      <w:bookmarkEnd w:id="340"/>
      <w:bookmarkEnd w:id="341"/>
      <w:bookmarkEnd w:id="342"/>
      <w:bookmarkEnd w:id="343"/>
      <w:bookmarkEnd w:id="344"/>
      <w:bookmarkEnd w:id="345"/>
      <w:bookmarkEnd w:id="346"/>
      <w:bookmarkEnd w:id="347"/>
      <w:bookmarkEnd w:id="348"/>
    </w:p>
    <w:p>
      <w:pPr>
        <w:autoSpaceDE w:val="0"/>
        <w:autoSpaceDN w:val="0"/>
        <w:spacing w:line="360" w:lineRule="auto"/>
        <w:rPr>
          <w:rFonts w:ascii="宋体" w:hAnsi="宋体" w:cs="宋体"/>
          <w:kern w:val="0"/>
          <w:szCs w:val="21"/>
        </w:rPr>
      </w:pPr>
      <w:r>
        <w:rPr>
          <w:rFonts w:hint="eastAsia" w:ascii="宋体" w:hAnsi="宋体" w:cs="宋体"/>
          <w:szCs w:val="21"/>
        </w:rPr>
        <w:t>如有，格式自拟。</w:t>
      </w:r>
    </w:p>
    <w:p>
      <w:pPr>
        <w:autoSpaceDE w:val="0"/>
        <w:autoSpaceDN w:val="0"/>
        <w:spacing w:line="360" w:lineRule="auto"/>
        <w:ind w:left="4920" w:leftChars="1950" w:hanging="240" w:hangingChars="100"/>
        <w:rPr>
          <w:rFonts w:ascii="宋体" w:hAnsi="宋体" w:cs="宋体"/>
          <w:kern w:val="0"/>
          <w:szCs w:val="21"/>
        </w:rPr>
      </w:pPr>
    </w:p>
    <w:p>
      <w:pPr>
        <w:autoSpaceDE w:val="0"/>
        <w:autoSpaceDN w:val="0"/>
        <w:spacing w:line="360" w:lineRule="auto"/>
        <w:ind w:left="4920" w:leftChars="1950" w:hanging="240" w:hangingChars="100"/>
        <w:rPr>
          <w:rFonts w:ascii="宋体" w:hAnsi="宋体" w:cs="宋体"/>
          <w:kern w:val="0"/>
          <w:szCs w:val="21"/>
        </w:rPr>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pacing w:line="360" w:lineRule="auto"/>
        <w:jc w:val="center"/>
        <w:rPr>
          <w:rFonts w:ascii="宋体" w:hAnsi="宋体" w:cs="宋体"/>
          <w:b/>
          <w:bCs/>
          <w:szCs w:val="21"/>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pacing w:line="360" w:lineRule="auto"/>
        <w:outlineLvl w:val="2"/>
        <w:rPr>
          <w:rFonts w:ascii="宋体" w:hAnsi="宋体" w:cs="宋体"/>
          <w:b/>
          <w:bCs/>
          <w:szCs w:val="21"/>
        </w:rPr>
      </w:pPr>
      <w:bookmarkStart w:id="349" w:name="_Toc20602"/>
      <w:bookmarkStart w:id="350" w:name="_Toc5167"/>
      <w:bookmarkStart w:id="351" w:name="_Toc6663"/>
      <w:bookmarkStart w:id="352" w:name="_Toc6665"/>
      <w:bookmarkStart w:id="353" w:name="_Toc10021"/>
      <w:bookmarkStart w:id="354" w:name="_Toc6416"/>
      <w:bookmarkStart w:id="355" w:name="_Toc20284"/>
      <w:bookmarkStart w:id="356" w:name="_Toc27450"/>
      <w:r>
        <w:rPr>
          <w:rFonts w:hint="eastAsia" w:ascii="宋体" w:hAnsi="宋体" w:cs="宋体"/>
          <w:b/>
          <w:bCs/>
          <w:szCs w:val="21"/>
        </w:rPr>
        <w:br w:type="page"/>
      </w:r>
      <w:bookmarkStart w:id="357" w:name="_Toc13376"/>
      <w:bookmarkStart w:id="358" w:name="_Toc15948"/>
      <w:r>
        <w:rPr>
          <w:rFonts w:hint="eastAsia" w:ascii="宋体" w:hAnsi="宋体" w:cs="宋体"/>
          <w:b/>
          <w:bCs/>
          <w:szCs w:val="21"/>
          <w:lang w:val="en-US" w:eastAsia="zh-CN"/>
        </w:rPr>
        <w:t>六</w:t>
      </w:r>
      <w:r>
        <w:rPr>
          <w:rFonts w:hint="eastAsia" w:ascii="宋体" w:hAnsi="宋体" w:cs="宋体"/>
          <w:b/>
          <w:bCs/>
          <w:szCs w:val="21"/>
        </w:rPr>
        <w:t>、供应商认为必要提供的声明及文件资料（如有）</w:t>
      </w:r>
      <w:bookmarkEnd w:id="349"/>
      <w:bookmarkEnd w:id="350"/>
      <w:bookmarkEnd w:id="351"/>
      <w:bookmarkEnd w:id="352"/>
      <w:bookmarkEnd w:id="353"/>
      <w:bookmarkEnd w:id="354"/>
      <w:bookmarkEnd w:id="355"/>
      <w:bookmarkEnd w:id="356"/>
      <w:bookmarkEnd w:id="357"/>
      <w:bookmarkEnd w:id="358"/>
    </w:p>
    <w:p>
      <w:pPr>
        <w:autoSpaceDE w:val="0"/>
        <w:autoSpaceDN w:val="0"/>
        <w:spacing w:line="360" w:lineRule="auto"/>
        <w:rPr>
          <w:rFonts w:ascii="宋体" w:hAnsi="宋体" w:cs="宋体"/>
          <w:kern w:val="0"/>
          <w:szCs w:val="21"/>
        </w:rPr>
      </w:pPr>
      <w:r>
        <w:rPr>
          <w:rFonts w:hint="eastAsia" w:ascii="宋体" w:hAnsi="宋体" w:cs="宋体"/>
          <w:szCs w:val="21"/>
        </w:rPr>
        <w:t>如有，格式自拟。</w:t>
      </w:r>
    </w:p>
    <w:p/>
    <w:p>
      <w:pPr>
        <w:pStyle w:val="14"/>
      </w:pPr>
    </w:p>
    <w:p>
      <w:pPr>
        <w:wordWrap w:val="0"/>
        <w:snapToGrid w:val="0"/>
        <w:spacing w:line="360" w:lineRule="auto"/>
        <w:jc w:val="right"/>
        <w:rPr>
          <w:rFonts w:ascii="宋体" w:hAnsi="宋体" w:cs="宋体"/>
          <w:kern w:val="0"/>
          <w:szCs w:val="21"/>
          <w:u w:val="single"/>
        </w:rPr>
      </w:pPr>
      <w:r>
        <w:rPr>
          <w:rFonts w:hint="eastAsia" w:ascii="宋体" w:hAnsi="宋体" w:cs="宋体"/>
          <w:kern w:val="0"/>
          <w:szCs w:val="21"/>
          <w:lang w:val="zh-CN"/>
        </w:rPr>
        <w:t>供应商名称(CA电子签章)：</w:t>
      </w:r>
      <w:r>
        <w:rPr>
          <w:rFonts w:hint="eastAsia" w:ascii="宋体" w:hAnsi="宋体" w:cs="宋体"/>
          <w:kern w:val="0"/>
          <w:szCs w:val="21"/>
          <w:u w:val="single"/>
        </w:rPr>
        <w:t xml:space="preserve">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pacing w:line="360" w:lineRule="auto"/>
        <w:jc w:val="center"/>
      </w:pPr>
    </w:p>
    <w:p>
      <w:pPr>
        <w:rPr>
          <w:rFonts w:hint="eastAsia" w:ascii="宋体" w:hAnsi="宋体" w:eastAsia="宋体" w:cs="宋体"/>
          <w:color w:val="auto"/>
          <w:lang w:val="en-US"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85977576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KXh7hQSAgAACgQAAA4AAAAAAAAAAQAg&#10;AAAAHwEAAGRycy9lMm9Eb2MueG1sUEsFBgAAAAAGAAYAWQEAAKM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F21A5"/>
    <w:multiLevelType w:val="singleLevel"/>
    <w:tmpl w:val="8A5F21A5"/>
    <w:lvl w:ilvl="0" w:tentative="0">
      <w:start w:val="1"/>
      <w:numFmt w:val="decimal"/>
      <w:suff w:val="nothing"/>
      <w:lvlText w:val="%1．"/>
      <w:lvlJc w:val="left"/>
      <w:pPr>
        <w:ind w:left="0" w:firstLine="400"/>
      </w:pPr>
      <w:rPr>
        <w:rFonts w:hint="default"/>
      </w:rPr>
    </w:lvl>
  </w:abstractNum>
  <w:abstractNum w:abstractNumId="1">
    <w:nsid w:val="977DECF2"/>
    <w:multiLevelType w:val="singleLevel"/>
    <w:tmpl w:val="977DECF2"/>
    <w:lvl w:ilvl="0" w:tentative="0">
      <w:start w:val="1"/>
      <w:numFmt w:val="decimal"/>
      <w:suff w:val="nothing"/>
      <w:lvlText w:val="%1．"/>
      <w:lvlJc w:val="left"/>
      <w:pPr>
        <w:ind w:left="0" w:firstLine="400"/>
      </w:pPr>
      <w:rPr>
        <w:rFonts w:hint="default"/>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88667FF"/>
    <w:multiLevelType w:val="singleLevel"/>
    <w:tmpl w:val="388667FF"/>
    <w:lvl w:ilvl="0" w:tentative="0">
      <w:start w:val="5"/>
      <w:numFmt w:val="chineseCounting"/>
      <w:suff w:val="space"/>
      <w:lvlText w:val="第%1章"/>
      <w:lvlJc w:val="left"/>
      <w:rPr>
        <w:rFonts w:hint="eastAsia"/>
      </w:rPr>
    </w:lvl>
  </w:abstractNum>
  <w:abstractNum w:abstractNumId="5">
    <w:nsid w:val="4E9A8EA8"/>
    <w:multiLevelType w:val="singleLevel"/>
    <w:tmpl w:val="4E9A8EA8"/>
    <w:lvl w:ilvl="0" w:tentative="0">
      <w:start w:val="1"/>
      <w:numFmt w:val="decimalEnclosedCircleChinese"/>
      <w:suff w:val="nothing"/>
      <w:lvlText w:val="%1　"/>
      <w:lvlJc w:val="left"/>
      <w:pPr>
        <w:ind w:left="0" w:firstLine="400"/>
      </w:pPr>
      <w:rPr>
        <w:rFonts w:hint="eastAsia"/>
      </w:rPr>
    </w:lvl>
  </w:abstractNum>
  <w:abstractNum w:abstractNumId="6">
    <w:nsid w:val="5398334E"/>
    <w:multiLevelType w:val="singleLevel"/>
    <w:tmpl w:val="5398334E"/>
    <w:lvl w:ilvl="0" w:tentative="0">
      <w:start w:val="1"/>
      <w:numFmt w:val="decimal"/>
      <w:suff w:val="nothing"/>
      <w:lvlText w:val="%1．"/>
      <w:lvlJc w:val="left"/>
      <w:pPr>
        <w:ind w:left="0" w:firstLine="400"/>
      </w:pPr>
      <w:rPr>
        <w:rFonts w:hint="default"/>
      </w:rPr>
    </w:lvl>
  </w:abstractNum>
  <w:abstractNum w:abstractNumId="7">
    <w:nsid w:val="6C35DEB8"/>
    <w:multiLevelType w:val="singleLevel"/>
    <w:tmpl w:val="6C35DEB8"/>
    <w:lvl w:ilvl="0" w:tentative="0">
      <w:start w:val="2"/>
      <w:numFmt w:val="chineseCounting"/>
      <w:suff w:val="space"/>
      <w:lvlText w:val="第%1章"/>
      <w:lvlJc w:val="left"/>
      <w:rPr>
        <w:rFonts w:hint="eastAsia"/>
      </w:rPr>
    </w:lvl>
  </w:abstractNum>
  <w:num w:numId="1">
    <w:abstractNumId w:val="3"/>
  </w:num>
  <w:num w:numId="2">
    <w:abstractNumId w:val="7"/>
  </w:num>
  <w:num w:numId="3">
    <w:abstractNumId w:val="4"/>
  </w:num>
  <w:num w:numId="4">
    <w:abstractNumId w:val="5"/>
  </w:num>
  <w:num w:numId="5">
    <w:abstractNumId w:val="1"/>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NjcyZWJlMDBiNmEwNWMxZmUwMjE2NmY0Y2NjZjgifQ=="/>
  </w:docVars>
  <w:rsids>
    <w:rsidRoot w:val="00000000"/>
    <w:rsid w:val="000118A6"/>
    <w:rsid w:val="0002117A"/>
    <w:rsid w:val="000B6281"/>
    <w:rsid w:val="00101AE9"/>
    <w:rsid w:val="00135135"/>
    <w:rsid w:val="00164C26"/>
    <w:rsid w:val="001B223C"/>
    <w:rsid w:val="001C048E"/>
    <w:rsid w:val="00207852"/>
    <w:rsid w:val="00305CE7"/>
    <w:rsid w:val="0058523E"/>
    <w:rsid w:val="00692C72"/>
    <w:rsid w:val="00704336"/>
    <w:rsid w:val="007A1658"/>
    <w:rsid w:val="008467DB"/>
    <w:rsid w:val="009049D8"/>
    <w:rsid w:val="00947357"/>
    <w:rsid w:val="009C337D"/>
    <w:rsid w:val="009F2E6D"/>
    <w:rsid w:val="00AA3CEC"/>
    <w:rsid w:val="00AE4E5E"/>
    <w:rsid w:val="00AF1302"/>
    <w:rsid w:val="00BD2BB6"/>
    <w:rsid w:val="00CB77BE"/>
    <w:rsid w:val="00CF3752"/>
    <w:rsid w:val="00E13486"/>
    <w:rsid w:val="00E52F76"/>
    <w:rsid w:val="00EB4F62"/>
    <w:rsid w:val="00ED0FCE"/>
    <w:rsid w:val="00ED1E2A"/>
    <w:rsid w:val="00F10DBA"/>
    <w:rsid w:val="00FF0A0F"/>
    <w:rsid w:val="010F4D74"/>
    <w:rsid w:val="01303AC5"/>
    <w:rsid w:val="013712F7"/>
    <w:rsid w:val="01455368"/>
    <w:rsid w:val="016A6FD7"/>
    <w:rsid w:val="016D3E53"/>
    <w:rsid w:val="01761E20"/>
    <w:rsid w:val="01804A4C"/>
    <w:rsid w:val="01837F4D"/>
    <w:rsid w:val="01964270"/>
    <w:rsid w:val="019822BC"/>
    <w:rsid w:val="019A4073"/>
    <w:rsid w:val="01A27490"/>
    <w:rsid w:val="01AF70E0"/>
    <w:rsid w:val="01B34E22"/>
    <w:rsid w:val="01B50676"/>
    <w:rsid w:val="01D34B7C"/>
    <w:rsid w:val="01D6466C"/>
    <w:rsid w:val="01FB2325"/>
    <w:rsid w:val="02040D3B"/>
    <w:rsid w:val="02175F02"/>
    <w:rsid w:val="02186A33"/>
    <w:rsid w:val="021C29C7"/>
    <w:rsid w:val="022A6766"/>
    <w:rsid w:val="023B6BC5"/>
    <w:rsid w:val="026E2AF7"/>
    <w:rsid w:val="0284056C"/>
    <w:rsid w:val="02924A37"/>
    <w:rsid w:val="029B1B65"/>
    <w:rsid w:val="02B5699E"/>
    <w:rsid w:val="02B8688A"/>
    <w:rsid w:val="02DC3F04"/>
    <w:rsid w:val="02E903CF"/>
    <w:rsid w:val="02E96621"/>
    <w:rsid w:val="03011BBD"/>
    <w:rsid w:val="03062D2F"/>
    <w:rsid w:val="030671D3"/>
    <w:rsid w:val="03101E00"/>
    <w:rsid w:val="03125E5F"/>
    <w:rsid w:val="031418F0"/>
    <w:rsid w:val="031F2043"/>
    <w:rsid w:val="03522419"/>
    <w:rsid w:val="035B12CD"/>
    <w:rsid w:val="036068E4"/>
    <w:rsid w:val="036141F8"/>
    <w:rsid w:val="03802AE2"/>
    <w:rsid w:val="03885E3A"/>
    <w:rsid w:val="038B0293"/>
    <w:rsid w:val="03990047"/>
    <w:rsid w:val="03A8229F"/>
    <w:rsid w:val="03AC7D7B"/>
    <w:rsid w:val="03AF33C7"/>
    <w:rsid w:val="03B7227C"/>
    <w:rsid w:val="03DF1EFE"/>
    <w:rsid w:val="03E272F9"/>
    <w:rsid w:val="03EC0177"/>
    <w:rsid w:val="03EE0393"/>
    <w:rsid w:val="03F3343D"/>
    <w:rsid w:val="04051239"/>
    <w:rsid w:val="040A201A"/>
    <w:rsid w:val="040A4AA1"/>
    <w:rsid w:val="040E4592"/>
    <w:rsid w:val="042A0CA0"/>
    <w:rsid w:val="045F6B9B"/>
    <w:rsid w:val="04732647"/>
    <w:rsid w:val="04837C03"/>
    <w:rsid w:val="048840BB"/>
    <w:rsid w:val="0490144A"/>
    <w:rsid w:val="04951178"/>
    <w:rsid w:val="04956A61"/>
    <w:rsid w:val="04A15406"/>
    <w:rsid w:val="04AE367F"/>
    <w:rsid w:val="04B1084F"/>
    <w:rsid w:val="04B92BFF"/>
    <w:rsid w:val="04BA0275"/>
    <w:rsid w:val="04C410F4"/>
    <w:rsid w:val="04CD1DAD"/>
    <w:rsid w:val="04CD61FB"/>
    <w:rsid w:val="04E142F5"/>
    <w:rsid w:val="04E43544"/>
    <w:rsid w:val="04E90B5B"/>
    <w:rsid w:val="04EA0D61"/>
    <w:rsid w:val="04F76DD4"/>
    <w:rsid w:val="05015EA4"/>
    <w:rsid w:val="05031C1C"/>
    <w:rsid w:val="051200B1"/>
    <w:rsid w:val="051A6F66"/>
    <w:rsid w:val="05355B4E"/>
    <w:rsid w:val="053578FC"/>
    <w:rsid w:val="05377B18"/>
    <w:rsid w:val="053B7608"/>
    <w:rsid w:val="054A15F9"/>
    <w:rsid w:val="056A57F8"/>
    <w:rsid w:val="057073E7"/>
    <w:rsid w:val="057905AA"/>
    <w:rsid w:val="057C377D"/>
    <w:rsid w:val="05832D5D"/>
    <w:rsid w:val="058F525E"/>
    <w:rsid w:val="05924D4E"/>
    <w:rsid w:val="059533A3"/>
    <w:rsid w:val="0599432F"/>
    <w:rsid w:val="05A351AD"/>
    <w:rsid w:val="05B11678"/>
    <w:rsid w:val="05D2339D"/>
    <w:rsid w:val="05D45367"/>
    <w:rsid w:val="05E82BC0"/>
    <w:rsid w:val="05EA6938"/>
    <w:rsid w:val="05EB4740"/>
    <w:rsid w:val="05F15F19"/>
    <w:rsid w:val="05F94DCD"/>
    <w:rsid w:val="05FD48BE"/>
    <w:rsid w:val="060C4B01"/>
    <w:rsid w:val="062E4A77"/>
    <w:rsid w:val="0636392C"/>
    <w:rsid w:val="06420522"/>
    <w:rsid w:val="065B7836"/>
    <w:rsid w:val="06693D01"/>
    <w:rsid w:val="06732DD2"/>
    <w:rsid w:val="067527EF"/>
    <w:rsid w:val="067A5F0E"/>
    <w:rsid w:val="067A7CBC"/>
    <w:rsid w:val="067B3A34"/>
    <w:rsid w:val="0680729D"/>
    <w:rsid w:val="068C3E93"/>
    <w:rsid w:val="068C79F0"/>
    <w:rsid w:val="06AB256C"/>
    <w:rsid w:val="06BD229F"/>
    <w:rsid w:val="06C0553B"/>
    <w:rsid w:val="06C278B5"/>
    <w:rsid w:val="06CD24E2"/>
    <w:rsid w:val="06E4782C"/>
    <w:rsid w:val="06F105E8"/>
    <w:rsid w:val="06F2019A"/>
    <w:rsid w:val="0703602A"/>
    <w:rsid w:val="070721B1"/>
    <w:rsid w:val="070B6B66"/>
    <w:rsid w:val="07155C37"/>
    <w:rsid w:val="07177C01"/>
    <w:rsid w:val="07287718"/>
    <w:rsid w:val="072A4378"/>
    <w:rsid w:val="07373DFF"/>
    <w:rsid w:val="07391925"/>
    <w:rsid w:val="073C7668"/>
    <w:rsid w:val="07414C7E"/>
    <w:rsid w:val="07832BA1"/>
    <w:rsid w:val="078D3ED8"/>
    <w:rsid w:val="07A01913"/>
    <w:rsid w:val="07B2792A"/>
    <w:rsid w:val="07C5140B"/>
    <w:rsid w:val="07CD6512"/>
    <w:rsid w:val="07CF4038"/>
    <w:rsid w:val="07D16002"/>
    <w:rsid w:val="07D653C6"/>
    <w:rsid w:val="07E775D3"/>
    <w:rsid w:val="07EE6482"/>
    <w:rsid w:val="07EF6488"/>
    <w:rsid w:val="07F053D2"/>
    <w:rsid w:val="07F81CA6"/>
    <w:rsid w:val="07FF681B"/>
    <w:rsid w:val="080737D2"/>
    <w:rsid w:val="080847EF"/>
    <w:rsid w:val="080C528C"/>
    <w:rsid w:val="080C703A"/>
    <w:rsid w:val="080D2DB2"/>
    <w:rsid w:val="080F6B2A"/>
    <w:rsid w:val="08253C58"/>
    <w:rsid w:val="082F4AD6"/>
    <w:rsid w:val="083E4D1A"/>
    <w:rsid w:val="085B3B1D"/>
    <w:rsid w:val="085D4105"/>
    <w:rsid w:val="085F360E"/>
    <w:rsid w:val="08601134"/>
    <w:rsid w:val="087A0447"/>
    <w:rsid w:val="08912D0E"/>
    <w:rsid w:val="08920A00"/>
    <w:rsid w:val="0895702F"/>
    <w:rsid w:val="08964B56"/>
    <w:rsid w:val="089B6610"/>
    <w:rsid w:val="08BB3A46"/>
    <w:rsid w:val="08BF5E5A"/>
    <w:rsid w:val="08C571E9"/>
    <w:rsid w:val="08C6368D"/>
    <w:rsid w:val="08C6543B"/>
    <w:rsid w:val="08C77405"/>
    <w:rsid w:val="08CA209B"/>
    <w:rsid w:val="08D51B22"/>
    <w:rsid w:val="08D5567E"/>
    <w:rsid w:val="08E25FED"/>
    <w:rsid w:val="09297778"/>
    <w:rsid w:val="092E4D8E"/>
    <w:rsid w:val="093525C0"/>
    <w:rsid w:val="09585107"/>
    <w:rsid w:val="095D1A5F"/>
    <w:rsid w:val="09664528"/>
    <w:rsid w:val="097924AD"/>
    <w:rsid w:val="097C1A1D"/>
    <w:rsid w:val="098B21E0"/>
    <w:rsid w:val="09A45050"/>
    <w:rsid w:val="09AC6100"/>
    <w:rsid w:val="09B41737"/>
    <w:rsid w:val="09BF7FC1"/>
    <w:rsid w:val="09C000DC"/>
    <w:rsid w:val="09D26061"/>
    <w:rsid w:val="09EC7123"/>
    <w:rsid w:val="09EE4F48"/>
    <w:rsid w:val="09FC30DE"/>
    <w:rsid w:val="0A002BCE"/>
    <w:rsid w:val="0A0124A3"/>
    <w:rsid w:val="0A075D0B"/>
    <w:rsid w:val="0A0D0E47"/>
    <w:rsid w:val="0A0D7099"/>
    <w:rsid w:val="0A1026E6"/>
    <w:rsid w:val="0A1E7D15"/>
    <w:rsid w:val="0A287A2F"/>
    <w:rsid w:val="0A3C34DB"/>
    <w:rsid w:val="0A3E54A5"/>
    <w:rsid w:val="0A3E7253"/>
    <w:rsid w:val="0A410AF1"/>
    <w:rsid w:val="0A4800D1"/>
    <w:rsid w:val="0A7B2255"/>
    <w:rsid w:val="0A7D5FCD"/>
    <w:rsid w:val="0A9926DB"/>
    <w:rsid w:val="0A9D47E0"/>
    <w:rsid w:val="0AA23C86"/>
    <w:rsid w:val="0AA90B70"/>
    <w:rsid w:val="0AAC0660"/>
    <w:rsid w:val="0AB01253"/>
    <w:rsid w:val="0AC534D0"/>
    <w:rsid w:val="0AC84167"/>
    <w:rsid w:val="0ACF434F"/>
    <w:rsid w:val="0ADB7197"/>
    <w:rsid w:val="0AE147AE"/>
    <w:rsid w:val="0AFC15E8"/>
    <w:rsid w:val="0B2D79F3"/>
    <w:rsid w:val="0B41524D"/>
    <w:rsid w:val="0B416FFB"/>
    <w:rsid w:val="0B444D3D"/>
    <w:rsid w:val="0B464611"/>
    <w:rsid w:val="0B486A8C"/>
    <w:rsid w:val="0B505490"/>
    <w:rsid w:val="0B550CF8"/>
    <w:rsid w:val="0B5C1648"/>
    <w:rsid w:val="0B6E5916"/>
    <w:rsid w:val="0B741651"/>
    <w:rsid w:val="0B7A69B0"/>
    <w:rsid w:val="0B892750"/>
    <w:rsid w:val="0B8B471A"/>
    <w:rsid w:val="0B8D0492"/>
    <w:rsid w:val="0B9C6927"/>
    <w:rsid w:val="0B9F1F73"/>
    <w:rsid w:val="0BA852CC"/>
    <w:rsid w:val="0BAD4690"/>
    <w:rsid w:val="0BB05F2E"/>
    <w:rsid w:val="0BB974D9"/>
    <w:rsid w:val="0BBE1244"/>
    <w:rsid w:val="0BC910AF"/>
    <w:rsid w:val="0BD41096"/>
    <w:rsid w:val="0C0C21B7"/>
    <w:rsid w:val="0C104C1F"/>
    <w:rsid w:val="0C28640C"/>
    <w:rsid w:val="0C2B3807"/>
    <w:rsid w:val="0C3923C8"/>
    <w:rsid w:val="0C3E353A"/>
    <w:rsid w:val="0C403756"/>
    <w:rsid w:val="0C472E34"/>
    <w:rsid w:val="0C58208C"/>
    <w:rsid w:val="0C790A16"/>
    <w:rsid w:val="0C7E438A"/>
    <w:rsid w:val="0C8A47F6"/>
    <w:rsid w:val="0C8E2713"/>
    <w:rsid w:val="0C985340"/>
    <w:rsid w:val="0CAC4948"/>
    <w:rsid w:val="0CAF06D2"/>
    <w:rsid w:val="0CC710AB"/>
    <w:rsid w:val="0CC71781"/>
    <w:rsid w:val="0CC72EC0"/>
    <w:rsid w:val="0CCC7512"/>
    <w:rsid w:val="0CD8398F"/>
    <w:rsid w:val="0CD93263"/>
    <w:rsid w:val="0CF602B9"/>
    <w:rsid w:val="0D18022F"/>
    <w:rsid w:val="0D1D3A97"/>
    <w:rsid w:val="0D2210AE"/>
    <w:rsid w:val="0D2342C8"/>
    <w:rsid w:val="0D2C5A88"/>
    <w:rsid w:val="0D350DE1"/>
    <w:rsid w:val="0D3861DB"/>
    <w:rsid w:val="0D3B3F1D"/>
    <w:rsid w:val="0D3D1A44"/>
    <w:rsid w:val="0D447276"/>
    <w:rsid w:val="0D501777"/>
    <w:rsid w:val="0D5F7C0C"/>
    <w:rsid w:val="0D645222"/>
    <w:rsid w:val="0D6B4803"/>
    <w:rsid w:val="0D6D057B"/>
    <w:rsid w:val="0D6E42F3"/>
    <w:rsid w:val="0D71793F"/>
    <w:rsid w:val="0D7731A8"/>
    <w:rsid w:val="0D865199"/>
    <w:rsid w:val="0D8853B5"/>
    <w:rsid w:val="0D8C6527"/>
    <w:rsid w:val="0D904269"/>
    <w:rsid w:val="0DA11FD2"/>
    <w:rsid w:val="0DA43871"/>
    <w:rsid w:val="0DA815B3"/>
    <w:rsid w:val="0DAF0B93"/>
    <w:rsid w:val="0DBC505E"/>
    <w:rsid w:val="0DBF372A"/>
    <w:rsid w:val="0DC21F49"/>
    <w:rsid w:val="0DC43F13"/>
    <w:rsid w:val="0DDF0D4D"/>
    <w:rsid w:val="0DE93979"/>
    <w:rsid w:val="0DF540CC"/>
    <w:rsid w:val="0DFC18FF"/>
    <w:rsid w:val="0E0B1B42"/>
    <w:rsid w:val="0E10604C"/>
    <w:rsid w:val="0E1A3B33"/>
    <w:rsid w:val="0E1C4FE4"/>
    <w:rsid w:val="0E2B3F92"/>
    <w:rsid w:val="0E341099"/>
    <w:rsid w:val="0E34397D"/>
    <w:rsid w:val="0E370B89"/>
    <w:rsid w:val="0E4312DC"/>
    <w:rsid w:val="0E4F1A2E"/>
    <w:rsid w:val="0E547045"/>
    <w:rsid w:val="0E590AFF"/>
    <w:rsid w:val="0E5928AD"/>
    <w:rsid w:val="0E7058B3"/>
    <w:rsid w:val="0E75778F"/>
    <w:rsid w:val="0E835B7C"/>
    <w:rsid w:val="0E8F4521"/>
    <w:rsid w:val="0EA855E3"/>
    <w:rsid w:val="0EAD49A7"/>
    <w:rsid w:val="0EB16245"/>
    <w:rsid w:val="0ED62150"/>
    <w:rsid w:val="0ED91C40"/>
    <w:rsid w:val="0EDB2095"/>
    <w:rsid w:val="0EEF37E0"/>
    <w:rsid w:val="0EF425D6"/>
    <w:rsid w:val="0EFD148A"/>
    <w:rsid w:val="0F00541F"/>
    <w:rsid w:val="0F234C69"/>
    <w:rsid w:val="0F2B63F2"/>
    <w:rsid w:val="0F2C1D70"/>
    <w:rsid w:val="0F3B4AA4"/>
    <w:rsid w:val="0F3D3F7D"/>
    <w:rsid w:val="0F492922"/>
    <w:rsid w:val="0F657030"/>
    <w:rsid w:val="0F6634D4"/>
    <w:rsid w:val="0F67724C"/>
    <w:rsid w:val="0F696B20"/>
    <w:rsid w:val="0F781459"/>
    <w:rsid w:val="0FAC2EB1"/>
    <w:rsid w:val="0FBD0C1A"/>
    <w:rsid w:val="0FCB3337"/>
    <w:rsid w:val="0FDA17CC"/>
    <w:rsid w:val="0FDC19E8"/>
    <w:rsid w:val="0FE20680"/>
    <w:rsid w:val="0FF424CD"/>
    <w:rsid w:val="100D1BA1"/>
    <w:rsid w:val="102D3FF1"/>
    <w:rsid w:val="10433815"/>
    <w:rsid w:val="104D4694"/>
    <w:rsid w:val="105570A4"/>
    <w:rsid w:val="107E15A9"/>
    <w:rsid w:val="1089530E"/>
    <w:rsid w:val="10B244F7"/>
    <w:rsid w:val="10B262A5"/>
    <w:rsid w:val="10B72F40"/>
    <w:rsid w:val="10B771C0"/>
    <w:rsid w:val="10C304B2"/>
    <w:rsid w:val="10C441CD"/>
    <w:rsid w:val="10CC16D2"/>
    <w:rsid w:val="10CD1330"/>
    <w:rsid w:val="10CD6CEB"/>
    <w:rsid w:val="10D95F27"/>
    <w:rsid w:val="10ED6253"/>
    <w:rsid w:val="10F90377"/>
    <w:rsid w:val="11005262"/>
    <w:rsid w:val="1109564B"/>
    <w:rsid w:val="112F78F5"/>
    <w:rsid w:val="11531836"/>
    <w:rsid w:val="11551A52"/>
    <w:rsid w:val="115B06EA"/>
    <w:rsid w:val="115F467E"/>
    <w:rsid w:val="11673533"/>
    <w:rsid w:val="116A6B7F"/>
    <w:rsid w:val="116D0321"/>
    <w:rsid w:val="117874EE"/>
    <w:rsid w:val="117B0D8C"/>
    <w:rsid w:val="11895257"/>
    <w:rsid w:val="11A622AD"/>
    <w:rsid w:val="11AE2F10"/>
    <w:rsid w:val="11AE4CBE"/>
    <w:rsid w:val="11B00A36"/>
    <w:rsid w:val="11D16BFE"/>
    <w:rsid w:val="11EB5F12"/>
    <w:rsid w:val="11FA7F03"/>
    <w:rsid w:val="11FF376C"/>
    <w:rsid w:val="121F3E0E"/>
    <w:rsid w:val="122172D8"/>
    <w:rsid w:val="12217B86"/>
    <w:rsid w:val="12296A3A"/>
    <w:rsid w:val="122B3DAC"/>
    <w:rsid w:val="12307DC9"/>
    <w:rsid w:val="12374CB3"/>
    <w:rsid w:val="123F625E"/>
    <w:rsid w:val="12445622"/>
    <w:rsid w:val="12521AED"/>
    <w:rsid w:val="12695089"/>
    <w:rsid w:val="126B7053"/>
    <w:rsid w:val="127C300E"/>
    <w:rsid w:val="1283614B"/>
    <w:rsid w:val="128D5F68"/>
    <w:rsid w:val="12C80001"/>
    <w:rsid w:val="12C81DAF"/>
    <w:rsid w:val="12D270D2"/>
    <w:rsid w:val="12DA12A2"/>
    <w:rsid w:val="12E070F9"/>
    <w:rsid w:val="12E3308D"/>
    <w:rsid w:val="12E36BE9"/>
    <w:rsid w:val="12E50BB3"/>
    <w:rsid w:val="12EF558E"/>
    <w:rsid w:val="12F901BB"/>
    <w:rsid w:val="12FB3F33"/>
    <w:rsid w:val="130C25E4"/>
    <w:rsid w:val="130F79DE"/>
    <w:rsid w:val="13102103"/>
    <w:rsid w:val="131274CE"/>
    <w:rsid w:val="131C5581"/>
    <w:rsid w:val="13250612"/>
    <w:rsid w:val="13394A5B"/>
    <w:rsid w:val="133D09EF"/>
    <w:rsid w:val="133D279D"/>
    <w:rsid w:val="13464FC0"/>
    <w:rsid w:val="134F0723"/>
    <w:rsid w:val="1360648C"/>
    <w:rsid w:val="13653AA2"/>
    <w:rsid w:val="136A730B"/>
    <w:rsid w:val="136E4163"/>
    <w:rsid w:val="13702641"/>
    <w:rsid w:val="13734411"/>
    <w:rsid w:val="137D2B9A"/>
    <w:rsid w:val="138C54D3"/>
    <w:rsid w:val="138F28CD"/>
    <w:rsid w:val="13A22600"/>
    <w:rsid w:val="13A66595"/>
    <w:rsid w:val="13A75E69"/>
    <w:rsid w:val="13B22621"/>
    <w:rsid w:val="13B32A60"/>
    <w:rsid w:val="13BF1404"/>
    <w:rsid w:val="13CA1B57"/>
    <w:rsid w:val="13CC6536"/>
    <w:rsid w:val="13CE33F5"/>
    <w:rsid w:val="13E146FA"/>
    <w:rsid w:val="13E156B5"/>
    <w:rsid w:val="13F310AE"/>
    <w:rsid w:val="13F60B9E"/>
    <w:rsid w:val="140B464A"/>
    <w:rsid w:val="14213E6D"/>
    <w:rsid w:val="14230D4E"/>
    <w:rsid w:val="14270D58"/>
    <w:rsid w:val="142C636E"/>
    <w:rsid w:val="14465682"/>
    <w:rsid w:val="144B00FF"/>
    <w:rsid w:val="1460258D"/>
    <w:rsid w:val="14681A9C"/>
    <w:rsid w:val="147F6DE6"/>
    <w:rsid w:val="14873E12"/>
    <w:rsid w:val="1490407B"/>
    <w:rsid w:val="14942891"/>
    <w:rsid w:val="14A979BF"/>
    <w:rsid w:val="14C173FE"/>
    <w:rsid w:val="14CB3DD9"/>
    <w:rsid w:val="14DE1D5E"/>
    <w:rsid w:val="14DE58BA"/>
    <w:rsid w:val="14FB46BE"/>
    <w:rsid w:val="1505553D"/>
    <w:rsid w:val="150F3CC6"/>
    <w:rsid w:val="15195E37"/>
    <w:rsid w:val="152B4E90"/>
    <w:rsid w:val="153674A4"/>
    <w:rsid w:val="153E0A4F"/>
    <w:rsid w:val="15451DDD"/>
    <w:rsid w:val="155717C3"/>
    <w:rsid w:val="15655FDB"/>
    <w:rsid w:val="159B37AB"/>
    <w:rsid w:val="15A72150"/>
    <w:rsid w:val="15A9236C"/>
    <w:rsid w:val="15B605E5"/>
    <w:rsid w:val="15B64A89"/>
    <w:rsid w:val="15CF16A7"/>
    <w:rsid w:val="15D03EBC"/>
    <w:rsid w:val="15F1161D"/>
    <w:rsid w:val="15F15AC1"/>
    <w:rsid w:val="15FA2BC8"/>
    <w:rsid w:val="15FD5E19"/>
    <w:rsid w:val="15FF306C"/>
    <w:rsid w:val="160219E8"/>
    <w:rsid w:val="16094BB9"/>
    <w:rsid w:val="1618304E"/>
    <w:rsid w:val="162B2D81"/>
    <w:rsid w:val="16465E0D"/>
    <w:rsid w:val="165E3AD3"/>
    <w:rsid w:val="1666200B"/>
    <w:rsid w:val="16781D3E"/>
    <w:rsid w:val="167A5AB7"/>
    <w:rsid w:val="167F7C87"/>
    <w:rsid w:val="16842491"/>
    <w:rsid w:val="16AB725A"/>
    <w:rsid w:val="16AD7C3A"/>
    <w:rsid w:val="16BA5EB3"/>
    <w:rsid w:val="16C64858"/>
    <w:rsid w:val="16C85F47"/>
    <w:rsid w:val="16CD5BE6"/>
    <w:rsid w:val="16DE4297"/>
    <w:rsid w:val="16DE6045"/>
    <w:rsid w:val="16DF591A"/>
    <w:rsid w:val="16EE3348"/>
    <w:rsid w:val="16F47617"/>
    <w:rsid w:val="16F94C2D"/>
    <w:rsid w:val="17033CFE"/>
    <w:rsid w:val="17147CB9"/>
    <w:rsid w:val="17195ABF"/>
    <w:rsid w:val="171C0B2A"/>
    <w:rsid w:val="17252EF2"/>
    <w:rsid w:val="172779EC"/>
    <w:rsid w:val="172F67C7"/>
    <w:rsid w:val="173619DD"/>
    <w:rsid w:val="17375756"/>
    <w:rsid w:val="17435EA8"/>
    <w:rsid w:val="174C1201"/>
    <w:rsid w:val="17527900"/>
    <w:rsid w:val="17555BDC"/>
    <w:rsid w:val="17560E52"/>
    <w:rsid w:val="175C51BC"/>
    <w:rsid w:val="17621497"/>
    <w:rsid w:val="17885FB1"/>
    <w:rsid w:val="179556EF"/>
    <w:rsid w:val="179761F4"/>
    <w:rsid w:val="1798507A"/>
    <w:rsid w:val="179B3F36"/>
    <w:rsid w:val="17A4103D"/>
    <w:rsid w:val="17C74D2B"/>
    <w:rsid w:val="17C92604"/>
    <w:rsid w:val="17CE7E68"/>
    <w:rsid w:val="17D42FA4"/>
    <w:rsid w:val="17D86F39"/>
    <w:rsid w:val="17DD62FD"/>
    <w:rsid w:val="17F83137"/>
    <w:rsid w:val="18025D64"/>
    <w:rsid w:val="18055854"/>
    <w:rsid w:val="180C0990"/>
    <w:rsid w:val="18151CD4"/>
    <w:rsid w:val="181C6E96"/>
    <w:rsid w:val="18245CDA"/>
    <w:rsid w:val="182920EC"/>
    <w:rsid w:val="18535D85"/>
    <w:rsid w:val="18561C0B"/>
    <w:rsid w:val="18820C52"/>
    <w:rsid w:val="18860743"/>
    <w:rsid w:val="18954E2A"/>
    <w:rsid w:val="18980476"/>
    <w:rsid w:val="189A5F9C"/>
    <w:rsid w:val="18A4506D"/>
    <w:rsid w:val="18A8690B"/>
    <w:rsid w:val="18AE1A47"/>
    <w:rsid w:val="18AF214C"/>
    <w:rsid w:val="18B84674"/>
    <w:rsid w:val="18BC6B24"/>
    <w:rsid w:val="18CE5C46"/>
    <w:rsid w:val="18E13BCB"/>
    <w:rsid w:val="18E90CD1"/>
    <w:rsid w:val="19045B0B"/>
    <w:rsid w:val="192D0BBE"/>
    <w:rsid w:val="19341F4D"/>
    <w:rsid w:val="19436634"/>
    <w:rsid w:val="19573E8D"/>
    <w:rsid w:val="19647CC3"/>
    <w:rsid w:val="196A3BC0"/>
    <w:rsid w:val="19766A09"/>
    <w:rsid w:val="197902A7"/>
    <w:rsid w:val="197C38F4"/>
    <w:rsid w:val="19B968F6"/>
    <w:rsid w:val="19D63004"/>
    <w:rsid w:val="19D9750D"/>
    <w:rsid w:val="19E20B4E"/>
    <w:rsid w:val="19E219A9"/>
    <w:rsid w:val="19F811CC"/>
    <w:rsid w:val="1A07140F"/>
    <w:rsid w:val="1A0B5C7A"/>
    <w:rsid w:val="1A231FC1"/>
    <w:rsid w:val="1A2E1092"/>
    <w:rsid w:val="1A312930"/>
    <w:rsid w:val="1A5328A6"/>
    <w:rsid w:val="1A693E78"/>
    <w:rsid w:val="1A6B4094"/>
    <w:rsid w:val="1A976C37"/>
    <w:rsid w:val="1AAC0209"/>
    <w:rsid w:val="1AAE21D3"/>
    <w:rsid w:val="1AB377E9"/>
    <w:rsid w:val="1AB85684"/>
    <w:rsid w:val="1AC11F06"/>
    <w:rsid w:val="1AC76DF0"/>
    <w:rsid w:val="1AC83294"/>
    <w:rsid w:val="1AC90DBB"/>
    <w:rsid w:val="1AD87250"/>
    <w:rsid w:val="1ADC0AEE"/>
    <w:rsid w:val="1AF71484"/>
    <w:rsid w:val="1AF916A0"/>
    <w:rsid w:val="1AFC1190"/>
    <w:rsid w:val="1AFF5E1E"/>
    <w:rsid w:val="1B0B13D3"/>
    <w:rsid w:val="1B0C206B"/>
    <w:rsid w:val="1B18764C"/>
    <w:rsid w:val="1B281F85"/>
    <w:rsid w:val="1B2A7AAB"/>
    <w:rsid w:val="1B300E3A"/>
    <w:rsid w:val="1B32070E"/>
    <w:rsid w:val="1B373F76"/>
    <w:rsid w:val="1B395F40"/>
    <w:rsid w:val="1B3D721E"/>
    <w:rsid w:val="1B4E306E"/>
    <w:rsid w:val="1B4F7BE5"/>
    <w:rsid w:val="1B59213E"/>
    <w:rsid w:val="1B60171F"/>
    <w:rsid w:val="1B610FF3"/>
    <w:rsid w:val="1B6B3C20"/>
    <w:rsid w:val="1B723200"/>
    <w:rsid w:val="1B742AD4"/>
    <w:rsid w:val="1B754A9E"/>
    <w:rsid w:val="1B7A3E63"/>
    <w:rsid w:val="1B7C407F"/>
    <w:rsid w:val="1B8151F1"/>
    <w:rsid w:val="1B9413C8"/>
    <w:rsid w:val="1B943177"/>
    <w:rsid w:val="1B965141"/>
    <w:rsid w:val="1B9B2757"/>
    <w:rsid w:val="1B9C14FB"/>
    <w:rsid w:val="1B9E2247"/>
    <w:rsid w:val="1B9E5DA3"/>
    <w:rsid w:val="1BAE6222"/>
    <w:rsid w:val="1BBC447B"/>
    <w:rsid w:val="1BD417C5"/>
    <w:rsid w:val="1BDB2B53"/>
    <w:rsid w:val="1BDB6FF7"/>
    <w:rsid w:val="1BDD4B1E"/>
    <w:rsid w:val="1BF105C9"/>
    <w:rsid w:val="1BF41E67"/>
    <w:rsid w:val="1C0B7A20"/>
    <w:rsid w:val="1C0C5FC5"/>
    <w:rsid w:val="1C1461AC"/>
    <w:rsid w:val="1C24274C"/>
    <w:rsid w:val="1C297D63"/>
    <w:rsid w:val="1C493F61"/>
    <w:rsid w:val="1C4E5A1B"/>
    <w:rsid w:val="1C6A3ED7"/>
    <w:rsid w:val="1C6E39C8"/>
    <w:rsid w:val="1C782A98"/>
    <w:rsid w:val="1C7B7E93"/>
    <w:rsid w:val="1C7E1E3C"/>
    <w:rsid w:val="1C7F5BD5"/>
    <w:rsid w:val="1C8D55CF"/>
    <w:rsid w:val="1C8E5E18"/>
    <w:rsid w:val="1C93342E"/>
    <w:rsid w:val="1CAC44F0"/>
    <w:rsid w:val="1CC41839"/>
    <w:rsid w:val="1CC7757C"/>
    <w:rsid w:val="1CC950A2"/>
    <w:rsid w:val="1CCB706C"/>
    <w:rsid w:val="1CD06430"/>
    <w:rsid w:val="1CDD28FB"/>
    <w:rsid w:val="1CED0AF9"/>
    <w:rsid w:val="1CFC0FD3"/>
    <w:rsid w:val="1CFF2872"/>
    <w:rsid w:val="1CFF6D16"/>
    <w:rsid w:val="1D1327C1"/>
    <w:rsid w:val="1D13456F"/>
    <w:rsid w:val="1D26197C"/>
    <w:rsid w:val="1D2642A2"/>
    <w:rsid w:val="1D2A0D94"/>
    <w:rsid w:val="1D392227"/>
    <w:rsid w:val="1D5A219E"/>
    <w:rsid w:val="1D5C4168"/>
    <w:rsid w:val="1D5C5F16"/>
    <w:rsid w:val="1D61177E"/>
    <w:rsid w:val="1D682B0D"/>
    <w:rsid w:val="1D6E79F7"/>
    <w:rsid w:val="1D752B34"/>
    <w:rsid w:val="1D852E89"/>
    <w:rsid w:val="1D9531D6"/>
    <w:rsid w:val="1DA268F6"/>
    <w:rsid w:val="1DA33B45"/>
    <w:rsid w:val="1DA67191"/>
    <w:rsid w:val="1DAA29E0"/>
    <w:rsid w:val="1DAC0C4B"/>
    <w:rsid w:val="1DAD6772"/>
    <w:rsid w:val="1DAF4298"/>
    <w:rsid w:val="1DB573D4"/>
    <w:rsid w:val="1DBC0763"/>
    <w:rsid w:val="1DC843F4"/>
    <w:rsid w:val="1DD43CFE"/>
    <w:rsid w:val="1DD737EE"/>
    <w:rsid w:val="1DDB508D"/>
    <w:rsid w:val="1DDF07A3"/>
    <w:rsid w:val="1DE5415D"/>
    <w:rsid w:val="1DE81558"/>
    <w:rsid w:val="1DEA1774"/>
    <w:rsid w:val="1DFC5003"/>
    <w:rsid w:val="1DFD14A7"/>
    <w:rsid w:val="1E1B192D"/>
    <w:rsid w:val="1E1E141D"/>
    <w:rsid w:val="1E2C7696"/>
    <w:rsid w:val="1E31338C"/>
    <w:rsid w:val="1E454B74"/>
    <w:rsid w:val="1E543091"/>
    <w:rsid w:val="1E6037E4"/>
    <w:rsid w:val="1E605592"/>
    <w:rsid w:val="1E676920"/>
    <w:rsid w:val="1E6A01BF"/>
    <w:rsid w:val="1E6A4663"/>
    <w:rsid w:val="1E71779F"/>
    <w:rsid w:val="1E7D7EF2"/>
    <w:rsid w:val="1E8B4E05"/>
    <w:rsid w:val="1E965458"/>
    <w:rsid w:val="1EA2204E"/>
    <w:rsid w:val="1EB83620"/>
    <w:rsid w:val="1EC21DA9"/>
    <w:rsid w:val="1ED23F8D"/>
    <w:rsid w:val="1EDD4E34"/>
    <w:rsid w:val="1EE241F9"/>
    <w:rsid w:val="1EE47F71"/>
    <w:rsid w:val="1EE61F3B"/>
    <w:rsid w:val="1EEE2B9E"/>
    <w:rsid w:val="1EF1268E"/>
    <w:rsid w:val="1EFB52BB"/>
    <w:rsid w:val="1F022AED"/>
    <w:rsid w:val="1F02343B"/>
    <w:rsid w:val="1F093E7B"/>
    <w:rsid w:val="1F095C2A"/>
    <w:rsid w:val="1F0B7BF4"/>
    <w:rsid w:val="1F182311"/>
    <w:rsid w:val="1F2A29CF"/>
    <w:rsid w:val="1F342D10"/>
    <w:rsid w:val="1F443106"/>
    <w:rsid w:val="1F5570C1"/>
    <w:rsid w:val="1F61475A"/>
    <w:rsid w:val="1F647304"/>
    <w:rsid w:val="1F882FF2"/>
    <w:rsid w:val="1F8F1202"/>
    <w:rsid w:val="1F923E71"/>
    <w:rsid w:val="1F9A58C4"/>
    <w:rsid w:val="1FA77378"/>
    <w:rsid w:val="1FB65DB1"/>
    <w:rsid w:val="1FB738D7"/>
    <w:rsid w:val="1FD46237"/>
    <w:rsid w:val="1FF07680"/>
    <w:rsid w:val="1FF14A71"/>
    <w:rsid w:val="1FF16DE9"/>
    <w:rsid w:val="200C18AC"/>
    <w:rsid w:val="200C3C23"/>
    <w:rsid w:val="20340A84"/>
    <w:rsid w:val="20362A4E"/>
    <w:rsid w:val="204C04C4"/>
    <w:rsid w:val="205056C0"/>
    <w:rsid w:val="20510A48"/>
    <w:rsid w:val="2059673D"/>
    <w:rsid w:val="205B24B5"/>
    <w:rsid w:val="205E73F1"/>
    <w:rsid w:val="20664C7C"/>
    <w:rsid w:val="206C46C2"/>
    <w:rsid w:val="207B2B57"/>
    <w:rsid w:val="20801F1B"/>
    <w:rsid w:val="20845B66"/>
    <w:rsid w:val="20855784"/>
    <w:rsid w:val="208732AA"/>
    <w:rsid w:val="20914128"/>
    <w:rsid w:val="20937EA1"/>
    <w:rsid w:val="20992FDD"/>
    <w:rsid w:val="209D0D1F"/>
    <w:rsid w:val="209E23A2"/>
    <w:rsid w:val="20A13AD8"/>
    <w:rsid w:val="20A91472"/>
    <w:rsid w:val="20A918BB"/>
    <w:rsid w:val="20C77B4A"/>
    <w:rsid w:val="20CC33B3"/>
    <w:rsid w:val="20D858B3"/>
    <w:rsid w:val="20E66ED5"/>
    <w:rsid w:val="20F841A8"/>
    <w:rsid w:val="20F85F56"/>
    <w:rsid w:val="20FA3A7C"/>
    <w:rsid w:val="21022930"/>
    <w:rsid w:val="2129610F"/>
    <w:rsid w:val="212C3E51"/>
    <w:rsid w:val="213276BA"/>
    <w:rsid w:val="213845A4"/>
    <w:rsid w:val="21472A39"/>
    <w:rsid w:val="214D441A"/>
    <w:rsid w:val="215238B8"/>
    <w:rsid w:val="21577120"/>
    <w:rsid w:val="215B0293"/>
    <w:rsid w:val="2162077B"/>
    <w:rsid w:val="21621621"/>
    <w:rsid w:val="216B2BCB"/>
    <w:rsid w:val="216B6728"/>
    <w:rsid w:val="21837F15"/>
    <w:rsid w:val="218A1D05"/>
    <w:rsid w:val="21AE2AB8"/>
    <w:rsid w:val="21B52AD4"/>
    <w:rsid w:val="21B856E5"/>
    <w:rsid w:val="21BA145D"/>
    <w:rsid w:val="21D2790B"/>
    <w:rsid w:val="21E85FCA"/>
    <w:rsid w:val="21EB7868"/>
    <w:rsid w:val="21ED1832"/>
    <w:rsid w:val="22064DFF"/>
    <w:rsid w:val="22115DF1"/>
    <w:rsid w:val="2217065D"/>
    <w:rsid w:val="221E19EC"/>
    <w:rsid w:val="22235254"/>
    <w:rsid w:val="22247BBF"/>
    <w:rsid w:val="222F3BF9"/>
    <w:rsid w:val="22394A78"/>
    <w:rsid w:val="22421B7E"/>
    <w:rsid w:val="22431452"/>
    <w:rsid w:val="22484CBB"/>
    <w:rsid w:val="22486A69"/>
    <w:rsid w:val="22590C76"/>
    <w:rsid w:val="226A4C31"/>
    <w:rsid w:val="22703027"/>
    <w:rsid w:val="22715FC0"/>
    <w:rsid w:val="22765384"/>
    <w:rsid w:val="2277157C"/>
    <w:rsid w:val="22813D29"/>
    <w:rsid w:val="229A2A9C"/>
    <w:rsid w:val="229C0B63"/>
    <w:rsid w:val="229D34C8"/>
    <w:rsid w:val="22A53EBB"/>
    <w:rsid w:val="22B660C8"/>
    <w:rsid w:val="22CC58EC"/>
    <w:rsid w:val="22DD5403"/>
    <w:rsid w:val="231B417D"/>
    <w:rsid w:val="231D1CA3"/>
    <w:rsid w:val="231F3057"/>
    <w:rsid w:val="232703F4"/>
    <w:rsid w:val="2335523F"/>
    <w:rsid w:val="2338088B"/>
    <w:rsid w:val="233D0598"/>
    <w:rsid w:val="2341027F"/>
    <w:rsid w:val="23473CA7"/>
    <w:rsid w:val="235077A5"/>
    <w:rsid w:val="23566F63"/>
    <w:rsid w:val="235835C9"/>
    <w:rsid w:val="23720241"/>
    <w:rsid w:val="23724C1A"/>
    <w:rsid w:val="23737B15"/>
    <w:rsid w:val="237A0EA4"/>
    <w:rsid w:val="238E2BA1"/>
    <w:rsid w:val="239161EE"/>
    <w:rsid w:val="23953F30"/>
    <w:rsid w:val="239C07D8"/>
    <w:rsid w:val="239E6A5A"/>
    <w:rsid w:val="239F08A1"/>
    <w:rsid w:val="23A221A9"/>
    <w:rsid w:val="23B048C6"/>
    <w:rsid w:val="23BA3996"/>
    <w:rsid w:val="23CE11F0"/>
    <w:rsid w:val="23D22A8E"/>
    <w:rsid w:val="23D36806"/>
    <w:rsid w:val="23E26A49"/>
    <w:rsid w:val="23E80503"/>
    <w:rsid w:val="23F36135"/>
    <w:rsid w:val="23FA3D93"/>
    <w:rsid w:val="23FE4FA4"/>
    <w:rsid w:val="24044C11"/>
    <w:rsid w:val="24066BDB"/>
    <w:rsid w:val="241C63FF"/>
    <w:rsid w:val="242B03F0"/>
    <w:rsid w:val="242D4168"/>
    <w:rsid w:val="243454F7"/>
    <w:rsid w:val="24392B0D"/>
    <w:rsid w:val="24457704"/>
    <w:rsid w:val="244A2F6C"/>
    <w:rsid w:val="244B4FF5"/>
    <w:rsid w:val="245636BF"/>
    <w:rsid w:val="24741D97"/>
    <w:rsid w:val="24833D88"/>
    <w:rsid w:val="24877183"/>
    <w:rsid w:val="248A3369"/>
    <w:rsid w:val="24A501A2"/>
    <w:rsid w:val="24A87C93"/>
    <w:rsid w:val="24AB7F91"/>
    <w:rsid w:val="24AC7783"/>
    <w:rsid w:val="24AF3183"/>
    <w:rsid w:val="24B959FC"/>
    <w:rsid w:val="24BC729A"/>
    <w:rsid w:val="24C3240F"/>
    <w:rsid w:val="24CC5FBB"/>
    <w:rsid w:val="24D04591"/>
    <w:rsid w:val="24D171E9"/>
    <w:rsid w:val="24D34D10"/>
    <w:rsid w:val="24DD5B8E"/>
    <w:rsid w:val="24DE652B"/>
    <w:rsid w:val="24E30CCB"/>
    <w:rsid w:val="24EA3E07"/>
    <w:rsid w:val="24EF0E19"/>
    <w:rsid w:val="24FE78B3"/>
    <w:rsid w:val="25034EC9"/>
    <w:rsid w:val="25046025"/>
    <w:rsid w:val="25056E93"/>
    <w:rsid w:val="251470D6"/>
    <w:rsid w:val="251B0465"/>
    <w:rsid w:val="2533755C"/>
    <w:rsid w:val="253634F0"/>
    <w:rsid w:val="25457290"/>
    <w:rsid w:val="254C061E"/>
    <w:rsid w:val="254C6870"/>
    <w:rsid w:val="255A0F8D"/>
    <w:rsid w:val="255D295A"/>
    <w:rsid w:val="255F47F5"/>
    <w:rsid w:val="257A162F"/>
    <w:rsid w:val="257B7155"/>
    <w:rsid w:val="25873D4C"/>
    <w:rsid w:val="258C521D"/>
    <w:rsid w:val="25B3069D"/>
    <w:rsid w:val="25C96113"/>
    <w:rsid w:val="25DA3E7C"/>
    <w:rsid w:val="25E82AF5"/>
    <w:rsid w:val="25F0544D"/>
    <w:rsid w:val="25F27417"/>
    <w:rsid w:val="25F72C80"/>
    <w:rsid w:val="25F901AD"/>
    <w:rsid w:val="25FA79C7"/>
    <w:rsid w:val="26006565"/>
    <w:rsid w:val="26154EB4"/>
    <w:rsid w:val="26306192"/>
    <w:rsid w:val="26325A66"/>
    <w:rsid w:val="2645731F"/>
    <w:rsid w:val="26466216"/>
    <w:rsid w:val="264F6618"/>
    <w:rsid w:val="26541E80"/>
    <w:rsid w:val="2657371E"/>
    <w:rsid w:val="26600825"/>
    <w:rsid w:val="266A16A4"/>
    <w:rsid w:val="26741610"/>
    <w:rsid w:val="26773DC1"/>
    <w:rsid w:val="267A11BB"/>
    <w:rsid w:val="268838D8"/>
    <w:rsid w:val="269C7383"/>
    <w:rsid w:val="26B75F6B"/>
    <w:rsid w:val="26BC17D3"/>
    <w:rsid w:val="26CA0394"/>
    <w:rsid w:val="26CF7759"/>
    <w:rsid w:val="26D32EC2"/>
    <w:rsid w:val="26E06270"/>
    <w:rsid w:val="26E67174"/>
    <w:rsid w:val="26EF01B9"/>
    <w:rsid w:val="26F70A5D"/>
    <w:rsid w:val="26F96584"/>
    <w:rsid w:val="26FB2180"/>
    <w:rsid w:val="27084A19"/>
    <w:rsid w:val="27196C26"/>
    <w:rsid w:val="271E7242"/>
    <w:rsid w:val="27363334"/>
    <w:rsid w:val="27383550"/>
    <w:rsid w:val="273870AC"/>
    <w:rsid w:val="273E2A56"/>
    <w:rsid w:val="274577C6"/>
    <w:rsid w:val="27514612"/>
    <w:rsid w:val="275163C0"/>
    <w:rsid w:val="275B19AE"/>
    <w:rsid w:val="275D2FB6"/>
    <w:rsid w:val="27677991"/>
    <w:rsid w:val="276A2F5D"/>
    <w:rsid w:val="276E51C4"/>
    <w:rsid w:val="277F2F2D"/>
    <w:rsid w:val="27897907"/>
    <w:rsid w:val="27982240"/>
    <w:rsid w:val="27A24E6D"/>
    <w:rsid w:val="27A40BE5"/>
    <w:rsid w:val="27B84691"/>
    <w:rsid w:val="27D760B2"/>
    <w:rsid w:val="28002AB0"/>
    <w:rsid w:val="280478D6"/>
    <w:rsid w:val="280653FC"/>
    <w:rsid w:val="280B47C0"/>
    <w:rsid w:val="280C6C87"/>
    <w:rsid w:val="280D0539"/>
    <w:rsid w:val="2815563F"/>
    <w:rsid w:val="28221B0A"/>
    <w:rsid w:val="282615FA"/>
    <w:rsid w:val="282835C4"/>
    <w:rsid w:val="28357A8F"/>
    <w:rsid w:val="28394C12"/>
    <w:rsid w:val="283A6E54"/>
    <w:rsid w:val="284303FE"/>
    <w:rsid w:val="286B1BCB"/>
    <w:rsid w:val="286D0FD5"/>
    <w:rsid w:val="286F11F3"/>
    <w:rsid w:val="28700AC7"/>
    <w:rsid w:val="287405B8"/>
    <w:rsid w:val="287700A8"/>
    <w:rsid w:val="2878582E"/>
    <w:rsid w:val="287E1436"/>
    <w:rsid w:val="288A7DDB"/>
    <w:rsid w:val="28920A3E"/>
    <w:rsid w:val="28925C6D"/>
    <w:rsid w:val="289B3D96"/>
    <w:rsid w:val="28A80261"/>
    <w:rsid w:val="28AA222B"/>
    <w:rsid w:val="28AA3FD9"/>
    <w:rsid w:val="28B46C06"/>
    <w:rsid w:val="28B5472C"/>
    <w:rsid w:val="28B766F6"/>
    <w:rsid w:val="28BC1F5F"/>
    <w:rsid w:val="28C11323"/>
    <w:rsid w:val="28C606E7"/>
    <w:rsid w:val="28CC03F4"/>
    <w:rsid w:val="28D15A0A"/>
    <w:rsid w:val="28D23530"/>
    <w:rsid w:val="28D728F5"/>
    <w:rsid w:val="28EB192B"/>
    <w:rsid w:val="28ED60D4"/>
    <w:rsid w:val="28F039B6"/>
    <w:rsid w:val="28F45255"/>
    <w:rsid w:val="2900009D"/>
    <w:rsid w:val="290A4A78"/>
    <w:rsid w:val="2916778A"/>
    <w:rsid w:val="29192F0D"/>
    <w:rsid w:val="29226266"/>
    <w:rsid w:val="29262A2B"/>
    <w:rsid w:val="29364810"/>
    <w:rsid w:val="293C0ED1"/>
    <w:rsid w:val="29581C87"/>
    <w:rsid w:val="295959FF"/>
    <w:rsid w:val="296A5517"/>
    <w:rsid w:val="2976210D"/>
    <w:rsid w:val="297665B1"/>
    <w:rsid w:val="297B7724"/>
    <w:rsid w:val="297D4691"/>
    <w:rsid w:val="29824F56"/>
    <w:rsid w:val="298505A2"/>
    <w:rsid w:val="298C1931"/>
    <w:rsid w:val="29A46C7B"/>
    <w:rsid w:val="29AC5B2F"/>
    <w:rsid w:val="29AF73CD"/>
    <w:rsid w:val="29B9024C"/>
    <w:rsid w:val="29BA79F3"/>
    <w:rsid w:val="29C4731D"/>
    <w:rsid w:val="29C54E43"/>
    <w:rsid w:val="29C72969"/>
    <w:rsid w:val="29C81F34"/>
    <w:rsid w:val="29CF7E9E"/>
    <w:rsid w:val="29D05CC2"/>
    <w:rsid w:val="29DB60AC"/>
    <w:rsid w:val="29E60427"/>
    <w:rsid w:val="29FB0865"/>
    <w:rsid w:val="29FD638B"/>
    <w:rsid w:val="2A0239A1"/>
    <w:rsid w:val="2A094D30"/>
    <w:rsid w:val="2A0B765C"/>
    <w:rsid w:val="2A0C65CE"/>
    <w:rsid w:val="2A1A0CEB"/>
    <w:rsid w:val="2A1C2CB5"/>
    <w:rsid w:val="2A2102CB"/>
    <w:rsid w:val="2A2B114A"/>
    <w:rsid w:val="2A2D4EC2"/>
    <w:rsid w:val="2A3274E4"/>
    <w:rsid w:val="2A4E4E38"/>
    <w:rsid w:val="2A612DBE"/>
    <w:rsid w:val="2A7725E1"/>
    <w:rsid w:val="2A7E571E"/>
    <w:rsid w:val="2A8820F8"/>
    <w:rsid w:val="2A9A007E"/>
    <w:rsid w:val="2AAA6513"/>
    <w:rsid w:val="2AB0570B"/>
    <w:rsid w:val="2AB27175"/>
    <w:rsid w:val="2ABC7FF4"/>
    <w:rsid w:val="2AC2486F"/>
    <w:rsid w:val="2AD80B05"/>
    <w:rsid w:val="2AEA4B61"/>
    <w:rsid w:val="2AF61758"/>
    <w:rsid w:val="2B0674C1"/>
    <w:rsid w:val="2B181536"/>
    <w:rsid w:val="2B230073"/>
    <w:rsid w:val="2B367DA6"/>
    <w:rsid w:val="2B4D3342"/>
    <w:rsid w:val="2B4F0E68"/>
    <w:rsid w:val="2B4F70BA"/>
    <w:rsid w:val="2B512E32"/>
    <w:rsid w:val="2B56551E"/>
    <w:rsid w:val="2B724B56"/>
    <w:rsid w:val="2B732DA8"/>
    <w:rsid w:val="2B9B40AD"/>
    <w:rsid w:val="2BA80578"/>
    <w:rsid w:val="2BB05DAB"/>
    <w:rsid w:val="2BB445C1"/>
    <w:rsid w:val="2BB60EE7"/>
    <w:rsid w:val="2BC41856"/>
    <w:rsid w:val="2BC453B2"/>
    <w:rsid w:val="2BEF7F55"/>
    <w:rsid w:val="2BF37A45"/>
    <w:rsid w:val="2BFF288E"/>
    <w:rsid w:val="2C0E2AD1"/>
    <w:rsid w:val="2C210A56"/>
    <w:rsid w:val="2C267C68"/>
    <w:rsid w:val="2C3047F6"/>
    <w:rsid w:val="2C31056E"/>
    <w:rsid w:val="2C3342E6"/>
    <w:rsid w:val="2C35005E"/>
    <w:rsid w:val="2C363DD6"/>
    <w:rsid w:val="2C391086"/>
    <w:rsid w:val="2C3A5674"/>
    <w:rsid w:val="2C3F422F"/>
    <w:rsid w:val="2C3F6D9D"/>
    <w:rsid w:val="2C493B09"/>
    <w:rsid w:val="2C4F2216"/>
    <w:rsid w:val="2C506C46"/>
    <w:rsid w:val="2C5A7AC4"/>
    <w:rsid w:val="2C5D1363"/>
    <w:rsid w:val="2C5D75B5"/>
    <w:rsid w:val="2C624BCB"/>
    <w:rsid w:val="2C73502A"/>
    <w:rsid w:val="2C785CA5"/>
    <w:rsid w:val="2C7E5D9F"/>
    <w:rsid w:val="2C815051"/>
    <w:rsid w:val="2C8D7E9A"/>
    <w:rsid w:val="2C923702"/>
    <w:rsid w:val="2C931228"/>
    <w:rsid w:val="2C9805ED"/>
    <w:rsid w:val="2CAC27E3"/>
    <w:rsid w:val="2CD63007"/>
    <w:rsid w:val="2CDE24A4"/>
    <w:rsid w:val="2CF32FAB"/>
    <w:rsid w:val="2CF75313"/>
    <w:rsid w:val="2D085772"/>
    <w:rsid w:val="2D241E80"/>
    <w:rsid w:val="2D542766"/>
    <w:rsid w:val="2D564730"/>
    <w:rsid w:val="2D616C31"/>
    <w:rsid w:val="2D634066"/>
    <w:rsid w:val="2D76092E"/>
    <w:rsid w:val="2D771CED"/>
    <w:rsid w:val="2D7E3C87"/>
    <w:rsid w:val="2D9708A4"/>
    <w:rsid w:val="2D99286E"/>
    <w:rsid w:val="2DA01E4F"/>
    <w:rsid w:val="2DAC0C2E"/>
    <w:rsid w:val="2DAF2092"/>
    <w:rsid w:val="2DBE4083"/>
    <w:rsid w:val="2DC0604D"/>
    <w:rsid w:val="2DCC054E"/>
    <w:rsid w:val="2DD448FF"/>
    <w:rsid w:val="2DE338A8"/>
    <w:rsid w:val="2DF50A67"/>
    <w:rsid w:val="2E075A2A"/>
    <w:rsid w:val="2E0A72C8"/>
    <w:rsid w:val="2E0E500A"/>
    <w:rsid w:val="2E150147"/>
    <w:rsid w:val="2E165C6D"/>
    <w:rsid w:val="2E187C37"/>
    <w:rsid w:val="2E1B3283"/>
    <w:rsid w:val="2E1D6FFC"/>
    <w:rsid w:val="2E235B1A"/>
    <w:rsid w:val="2E254102"/>
    <w:rsid w:val="2E2A34C6"/>
    <w:rsid w:val="2E2E1209"/>
    <w:rsid w:val="2E2E2FB7"/>
    <w:rsid w:val="2E305BBA"/>
    <w:rsid w:val="2E5844D8"/>
    <w:rsid w:val="2E67471B"/>
    <w:rsid w:val="2E8452CD"/>
    <w:rsid w:val="2E8B0409"/>
    <w:rsid w:val="2E905A1F"/>
    <w:rsid w:val="2E9372BE"/>
    <w:rsid w:val="2EA63495"/>
    <w:rsid w:val="2EAD4823"/>
    <w:rsid w:val="2EAE40F8"/>
    <w:rsid w:val="2EBC05C2"/>
    <w:rsid w:val="2EBD433B"/>
    <w:rsid w:val="2EC102CF"/>
    <w:rsid w:val="2ED022C0"/>
    <w:rsid w:val="2ED06A34"/>
    <w:rsid w:val="2ED33B5E"/>
    <w:rsid w:val="2ED3590C"/>
    <w:rsid w:val="2EE23DA1"/>
    <w:rsid w:val="2EF22236"/>
    <w:rsid w:val="2EF27014"/>
    <w:rsid w:val="2EF35FAE"/>
    <w:rsid w:val="2F0D0E1E"/>
    <w:rsid w:val="2F126434"/>
    <w:rsid w:val="2F146650"/>
    <w:rsid w:val="2F2A7C22"/>
    <w:rsid w:val="2F2F5238"/>
    <w:rsid w:val="2F390C5D"/>
    <w:rsid w:val="2F410614"/>
    <w:rsid w:val="2F432A92"/>
    <w:rsid w:val="2F452CAE"/>
    <w:rsid w:val="2F45373F"/>
    <w:rsid w:val="2F4A3E20"/>
    <w:rsid w:val="2F522CD5"/>
    <w:rsid w:val="2F594063"/>
    <w:rsid w:val="2F6173BC"/>
    <w:rsid w:val="2F6F1AD9"/>
    <w:rsid w:val="2F715851"/>
    <w:rsid w:val="2F7E1D1C"/>
    <w:rsid w:val="2F8F5282"/>
    <w:rsid w:val="2F94153F"/>
    <w:rsid w:val="2F9432ED"/>
    <w:rsid w:val="2F9652B7"/>
    <w:rsid w:val="2FA379D4"/>
    <w:rsid w:val="2FA63021"/>
    <w:rsid w:val="2FA8323D"/>
    <w:rsid w:val="2FB737A0"/>
    <w:rsid w:val="2FBE480E"/>
    <w:rsid w:val="2FCC6F2B"/>
    <w:rsid w:val="2FD63906"/>
    <w:rsid w:val="2FD656B4"/>
    <w:rsid w:val="2FEF49C8"/>
    <w:rsid w:val="2FF43D8C"/>
    <w:rsid w:val="2FF63FA8"/>
    <w:rsid w:val="2FFA3A98"/>
    <w:rsid w:val="300541EB"/>
    <w:rsid w:val="30085A89"/>
    <w:rsid w:val="30101B3C"/>
    <w:rsid w:val="301461DC"/>
    <w:rsid w:val="301A5EE8"/>
    <w:rsid w:val="302D729E"/>
    <w:rsid w:val="302F1268"/>
    <w:rsid w:val="302F3016"/>
    <w:rsid w:val="3045283A"/>
    <w:rsid w:val="30466CDD"/>
    <w:rsid w:val="30470360"/>
    <w:rsid w:val="304E59DB"/>
    <w:rsid w:val="305C6809"/>
    <w:rsid w:val="30676C54"/>
    <w:rsid w:val="306929CC"/>
    <w:rsid w:val="306B5DA3"/>
    <w:rsid w:val="306C7DC6"/>
    <w:rsid w:val="307F3F9D"/>
    <w:rsid w:val="30850E88"/>
    <w:rsid w:val="30894E1C"/>
    <w:rsid w:val="30977539"/>
    <w:rsid w:val="3098505F"/>
    <w:rsid w:val="30986E0D"/>
    <w:rsid w:val="309F1F4A"/>
    <w:rsid w:val="30A75156"/>
    <w:rsid w:val="30A752A2"/>
    <w:rsid w:val="30B05F05"/>
    <w:rsid w:val="30B73737"/>
    <w:rsid w:val="30C16364"/>
    <w:rsid w:val="30CD2F5B"/>
    <w:rsid w:val="30CE0A81"/>
    <w:rsid w:val="30D81900"/>
    <w:rsid w:val="30DA5678"/>
    <w:rsid w:val="30E3277E"/>
    <w:rsid w:val="30FD3114"/>
    <w:rsid w:val="3102072B"/>
    <w:rsid w:val="31104BF6"/>
    <w:rsid w:val="311F752F"/>
    <w:rsid w:val="31376626"/>
    <w:rsid w:val="31434FCB"/>
    <w:rsid w:val="314774D9"/>
    <w:rsid w:val="314E571E"/>
    <w:rsid w:val="31570A76"/>
    <w:rsid w:val="316B62D0"/>
    <w:rsid w:val="316D029A"/>
    <w:rsid w:val="316D2048"/>
    <w:rsid w:val="316F5DC0"/>
    <w:rsid w:val="317C672F"/>
    <w:rsid w:val="31A737AC"/>
    <w:rsid w:val="31A83F8D"/>
    <w:rsid w:val="31B732C3"/>
    <w:rsid w:val="31B9703B"/>
    <w:rsid w:val="31C51E84"/>
    <w:rsid w:val="31CB0EA5"/>
    <w:rsid w:val="31D16A7B"/>
    <w:rsid w:val="31D75713"/>
    <w:rsid w:val="31DE4CF4"/>
    <w:rsid w:val="32036508"/>
    <w:rsid w:val="320A5AE9"/>
    <w:rsid w:val="320B0463"/>
    <w:rsid w:val="320D55D9"/>
    <w:rsid w:val="3220530C"/>
    <w:rsid w:val="32270449"/>
    <w:rsid w:val="322A618B"/>
    <w:rsid w:val="322D17D7"/>
    <w:rsid w:val="32326DEE"/>
    <w:rsid w:val="32342B66"/>
    <w:rsid w:val="323468E3"/>
    <w:rsid w:val="323B0398"/>
    <w:rsid w:val="324C6101"/>
    <w:rsid w:val="32543208"/>
    <w:rsid w:val="3260395B"/>
    <w:rsid w:val="326A5B84"/>
    <w:rsid w:val="327A3807"/>
    <w:rsid w:val="32943604"/>
    <w:rsid w:val="32CE6B16"/>
    <w:rsid w:val="32E620B2"/>
    <w:rsid w:val="32EC3440"/>
    <w:rsid w:val="330864CC"/>
    <w:rsid w:val="33156EBE"/>
    <w:rsid w:val="3317670F"/>
    <w:rsid w:val="332826CA"/>
    <w:rsid w:val="3337290D"/>
    <w:rsid w:val="3364747B"/>
    <w:rsid w:val="33680D19"/>
    <w:rsid w:val="336851BD"/>
    <w:rsid w:val="33721B98"/>
    <w:rsid w:val="337E053C"/>
    <w:rsid w:val="33837901"/>
    <w:rsid w:val="338F274A"/>
    <w:rsid w:val="339733AC"/>
    <w:rsid w:val="339C09C3"/>
    <w:rsid w:val="33A15FD9"/>
    <w:rsid w:val="33B45D0C"/>
    <w:rsid w:val="33B95A18"/>
    <w:rsid w:val="33C46C09"/>
    <w:rsid w:val="33C543BD"/>
    <w:rsid w:val="33C64C38"/>
    <w:rsid w:val="33CB7F46"/>
    <w:rsid w:val="33CD5020"/>
    <w:rsid w:val="33D463AE"/>
    <w:rsid w:val="33E04D53"/>
    <w:rsid w:val="33ED56C2"/>
    <w:rsid w:val="33EF4F96"/>
    <w:rsid w:val="33FB1B8D"/>
    <w:rsid w:val="33FC7E90"/>
    <w:rsid w:val="34126ED7"/>
    <w:rsid w:val="341B5D8B"/>
    <w:rsid w:val="342D5ABF"/>
    <w:rsid w:val="34416530"/>
    <w:rsid w:val="344C4197"/>
    <w:rsid w:val="344D6161"/>
    <w:rsid w:val="3454129D"/>
    <w:rsid w:val="346A0AC1"/>
    <w:rsid w:val="346F4329"/>
    <w:rsid w:val="34727975"/>
    <w:rsid w:val="34873421"/>
    <w:rsid w:val="348D61BA"/>
    <w:rsid w:val="34A00986"/>
    <w:rsid w:val="34A75871"/>
    <w:rsid w:val="34AD7EA2"/>
    <w:rsid w:val="34B14942"/>
    <w:rsid w:val="34BF0E0C"/>
    <w:rsid w:val="34C208FD"/>
    <w:rsid w:val="34D66156"/>
    <w:rsid w:val="34D83C7C"/>
    <w:rsid w:val="34DD1293"/>
    <w:rsid w:val="34E16FD5"/>
    <w:rsid w:val="34E645EB"/>
    <w:rsid w:val="34E72111"/>
    <w:rsid w:val="350B4052"/>
    <w:rsid w:val="350D601C"/>
    <w:rsid w:val="35305866"/>
    <w:rsid w:val="353510CF"/>
    <w:rsid w:val="354632DC"/>
    <w:rsid w:val="354E03E2"/>
    <w:rsid w:val="35585E1E"/>
    <w:rsid w:val="355C5AB7"/>
    <w:rsid w:val="35645510"/>
    <w:rsid w:val="35690D78"/>
    <w:rsid w:val="357A2F85"/>
    <w:rsid w:val="357F234A"/>
    <w:rsid w:val="357F6000"/>
    <w:rsid w:val="358B6F41"/>
    <w:rsid w:val="359027A9"/>
    <w:rsid w:val="359202CF"/>
    <w:rsid w:val="3599165E"/>
    <w:rsid w:val="35A26038"/>
    <w:rsid w:val="35A40002"/>
    <w:rsid w:val="35A61FCC"/>
    <w:rsid w:val="35B8210B"/>
    <w:rsid w:val="35D2691D"/>
    <w:rsid w:val="35D703D8"/>
    <w:rsid w:val="35E054A6"/>
    <w:rsid w:val="35E9564A"/>
    <w:rsid w:val="35F26FC0"/>
    <w:rsid w:val="360B0081"/>
    <w:rsid w:val="360C62D3"/>
    <w:rsid w:val="362829E1"/>
    <w:rsid w:val="363475D8"/>
    <w:rsid w:val="36736147"/>
    <w:rsid w:val="36745C27"/>
    <w:rsid w:val="36767BF1"/>
    <w:rsid w:val="367B5207"/>
    <w:rsid w:val="367D2D2D"/>
    <w:rsid w:val="368C2F70"/>
    <w:rsid w:val="36953005"/>
    <w:rsid w:val="36962041"/>
    <w:rsid w:val="36965B9D"/>
    <w:rsid w:val="36A209E6"/>
    <w:rsid w:val="36BD137C"/>
    <w:rsid w:val="36C82E41"/>
    <w:rsid w:val="36E25286"/>
    <w:rsid w:val="36EC3A0F"/>
    <w:rsid w:val="36FA25D0"/>
    <w:rsid w:val="36FF7BE6"/>
    <w:rsid w:val="370C5E5F"/>
    <w:rsid w:val="37164F30"/>
    <w:rsid w:val="37182A56"/>
    <w:rsid w:val="371B2546"/>
    <w:rsid w:val="371D1E1A"/>
    <w:rsid w:val="372E4027"/>
    <w:rsid w:val="373C4996"/>
    <w:rsid w:val="3748158D"/>
    <w:rsid w:val="374B2E2B"/>
    <w:rsid w:val="37515F68"/>
    <w:rsid w:val="37607F59"/>
    <w:rsid w:val="37610F7D"/>
    <w:rsid w:val="377F2AD5"/>
    <w:rsid w:val="37916D8F"/>
    <w:rsid w:val="37955E55"/>
    <w:rsid w:val="37976071"/>
    <w:rsid w:val="37BF7375"/>
    <w:rsid w:val="37C60704"/>
    <w:rsid w:val="37D01583"/>
    <w:rsid w:val="37D921E5"/>
    <w:rsid w:val="37DE5A4E"/>
    <w:rsid w:val="37E312B6"/>
    <w:rsid w:val="37E932EF"/>
    <w:rsid w:val="37F25C81"/>
    <w:rsid w:val="37F46DC2"/>
    <w:rsid w:val="37FA215C"/>
    <w:rsid w:val="37FF7772"/>
    <w:rsid w:val="380E35FA"/>
    <w:rsid w:val="3810372D"/>
    <w:rsid w:val="381E5E4A"/>
    <w:rsid w:val="3821593A"/>
    <w:rsid w:val="38233460"/>
    <w:rsid w:val="3828316D"/>
    <w:rsid w:val="382A2A41"/>
    <w:rsid w:val="382F44FB"/>
    <w:rsid w:val="38417D8A"/>
    <w:rsid w:val="384C615B"/>
    <w:rsid w:val="38506315"/>
    <w:rsid w:val="385C0405"/>
    <w:rsid w:val="38787C50"/>
    <w:rsid w:val="38797524"/>
    <w:rsid w:val="388859B9"/>
    <w:rsid w:val="388F6D48"/>
    <w:rsid w:val="38995E18"/>
    <w:rsid w:val="389E6C52"/>
    <w:rsid w:val="38AD342D"/>
    <w:rsid w:val="38B95B73"/>
    <w:rsid w:val="38BB7B3D"/>
    <w:rsid w:val="38C369F1"/>
    <w:rsid w:val="38C56745"/>
    <w:rsid w:val="38C84008"/>
    <w:rsid w:val="38D97FC3"/>
    <w:rsid w:val="38DD7AB3"/>
    <w:rsid w:val="38E5105E"/>
    <w:rsid w:val="38EF77E6"/>
    <w:rsid w:val="38F35529"/>
    <w:rsid w:val="390037A2"/>
    <w:rsid w:val="390414E4"/>
    <w:rsid w:val="39052615"/>
    <w:rsid w:val="3907025B"/>
    <w:rsid w:val="392F1912"/>
    <w:rsid w:val="394B7113"/>
    <w:rsid w:val="394E6C03"/>
    <w:rsid w:val="395F50A5"/>
    <w:rsid w:val="3962620A"/>
    <w:rsid w:val="39643D30"/>
    <w:rsid w:val="39663F4D"/>
    <w:rsid w:val="396B3311"/>
    <w:rsid w:val="39772C52"/>
    <w:rsid w:val="39822409"/>
    <w:rsid w:val="39BA6046"/>
    <w:rsid w:val="39DC420F"/>
    <w:rsid w:val="39E92812"/>
    <w:rsid w:val="39E9692C"/>
    <w:rsid w:val="39ED01CA"/>
    <w:rsid w:val="39F33306"/>
    <w:rsid w:val="39FC665F"/>
    <w:rsid w:val="39FF26A8"/>
    <w:rsid w:val="3A011C5E"/>
    <w:rsid w:val="3A157721"/>
    <w:rsid w:val="3A23639D"/>
    <w:rsid w:val="3A345DF9"/>
    <w:rsid w:val="3A3951BD"/>
    <w:rsid w:val="3A414072"/>
    <w:rsid w:val="3A465B2C"/>
    <w:rsid w:val="3A685AA2"/>
    <w:rsid w:val="3A687850"/>
    <w:rsid w:val="3A6C4908"/>
    <w:rsid w:val="3A791A5E"/>
    <w:rsid w:val="3A82599C"/>
    <w:rsid w:val="3A84793F"/>
    <w:rsid w:val="3A935B94"/>
    <w:rsid w:val="3A944AE9"/>
    <w:rsid w:val="3A96260F"/>
    <w:rsid w:val="3A9932B0"/>
    <w:rsid w:val="3A9E14C4"/>
    <w:rsid w:val="3AC32CD9"/>
    <w:rsid w:val="3AD44EE6"/>
    <w:rsid w:val="3ADD0BAE"/>
    <w:rsid w:val="3AF865CC"/>
    <w:rsid w:val="3B135A0E"/>
    <w:rsid w:val="3B141786"/>
    <w:rsid w:val="3B196D9D"/>
    <w:rsid w:val="3B1B48C3"/>
    <w:rsid w:val="3B1D063B"/>
    <w:rsid w:val="3B223EA3"/>
    <w:rsid w:val="3B247C1B"/>
    <w:rsid w:val="3B26061F"/>
    <w:rsid w:val="3B273268"/>
    <w:rsid w:val="3B3135D0"/>
    <w:rsid w:val="3B3360B0"/>
    <w:rsid w:val="3B351E28"/>
    <w:rsid w:val="3B3942B5"/>
    <w:rsid w:val="3B4958D4"/>
    <w:rsid w:val="3B4B164C"/>
    <w:rsid w:val="3B4C0F20"/>
    <w:rsid w:val="3B5D312D"/>
    <w:rsid w:val="3B626996"/>
    <w:rsid w:val="3B651FE2"/>
    <w:rsid w:val="3B6C3370"/>
    <w:rsid w:val="3B716BD9"/>
    <w:rsid w:val="3B84690C"/>
    <w:rsid w:val="3B8701AA"/>
    <w:rsid w:val="3B9C18B7"/>
    <w:rsid w:val="3BB52F69"/>
    <w:rsid w:val="3BB54D17"/>
    <w:rsid w:val="3BBB7E54"/>
    <w:rsid w:val="3BBD3BCC"/>
    <w:rsid w:val="3BBF5B96"/>
    <w:rsid w:val="3BC96A15"/>
    <w:rsid w:val="3BD553B9"/>
    <w:rsid w:val="3BE473AB"/>
    <w:rsid w:val="3BE850ED"/>
    <w:rsid w:val="3BE9676F"/>
    <w:rsid w:val="3BEB24E7"/>
    <w:rsid w:val="3BF848DC"/>
    <w:rsid w:val="3BFA4E20"/>
    <w:rsid w:val="3C0B0DDB"/>
    <w:rsid w:val="3C153A08"/>
    <w:rsid w:val="3C227C10"/>
    <w:rsid w:val="3C2D6FA3"/>
    <w:rsid w:val="3C2E6878"/>
    <w:rsid w:val="3C3C71E7"/>
    <w:rsid w:val="3C502C92"/>
    <w:rsid w:val="3C577B7C"/>
    <w:rsid w:val="3C6109FB"/>
    <w:rsid w:val="3C6504EB"/>
    <w:rsid w:val="3C6B7ACC"/>
    <w:rsid w:val="3C7324DC"/>
    <w:rsid w:val="3C7544A7"/>
    <w:rsid w:val="3C7E15AD"/>
    <w:rsid w:val="3C805325"/>
    <w:rsid w:val="3C947296"/>
    <w:rsid w:val="3C9626F9"/>
    <w:rsid w:val="3C964B49"/>
    <w:rsid w:val="3C97441D"/>
    <w:rsid w:val="3CAD59EE"/>
    <w:rsid w:val="3CBB45AF"/>
    <w:rsid w:val="3CBF47D5"/>
    <w:rsid w:val="3CDC62D4"/>
    <w:rsid w:val="3D1D2B74"/>
    <w:rsid w:val="3D246465"/>
    <w:rsid w:val="3D2739F3"/>
    <w:rsid w:val="3D344362"/>
    <w:rsid w:val="3D346110"/>
    <w:rsid w:val="3D385C00"/>
    <w:rsid w:val="3D394B82"/>
    <w:rsid w:val="3D3B56F0"/>
    <w:rsid w:val="3D3D3216"/>
    <w:rsid w:val="3D485717"/>
    <w:rsid w:val="3D5E4F3B"/>
    <w:rsid w:val="3D687B67"/>
    <w:rsid w:val="3D801355"/>
    <w:rsid w:val="3D8A666C"/>
    <w:rsid w:val="3D915310"/>
    <w:rsid w:val="3DAB4624"/>
    <w:rsid w:val="3DAE7AB2"/>
    <w:rsid w:val="3DAF3EE8"/>
    <w:rsid w:val="3DB159B2"/>
    <w:rsid w:val="3DB8289D"/>
    <w:rsid w:val="3DC2371B"/>
    <w:rsid w:val="3DC47494"/>
    <w:rsid w:val="3DC51601"/>
    <w:rsid w:val="3DC6320C"/>
    <w:rsid w:val="3DCE3E6E"/>
    <w:rsid w:val="3DD441F1"/>
    <w:rsid w:val="3DDC2A2F"/>
    <w:rsid w:val="3DE47B36"/>
    <w:rsid w:val="3DFD29A6"/>
    <w:rsid w:val="3DFF3A68"/>
    <w:rsid w:val="3E015FF2"/>
    <w:rsid w:val="3E06659F"/>
    <w:rsid w:val="3E0C2BE9"/>
    <w:rsid w:val="3E19382F"/>
    <w:rsid w:val="3E1D0E70"/>
    <w:rsid w:val="3E23240C"/>
    <w:rsid w:val="3E467EA9"/>
    <w:rsid w:val="3E495BEB"/>
    <w:rsid w:val="3E522CF1"/>
    <w:rsid w:val="3E5720B6"/>
    <w:rsid w:val="3E573E64"/>
    <w:rsid w:val="3E5A3954"/>
    <w:rsid w:val="3E6447D3"/>
    <w:rsid w:val="3E6E73FF"/>
    <w:rsid w:val="3E7A2248"/>
    <w:rsid w:val="3E86299B"/>
    <w:rsid w:val="3E973163"/>
    <w:rsid w:val="3E9C5D1B"/>
    <w:rsid w:val="3E9E1A93"/>
    <w:rsid w:val="3E9F580B"/>
    <w:rsid w:val="3EA15A06"/>
    <w:rsid w:val="3EA97713"/>
    <w:rsid w:val="3EAF1EF2"/>
    <w:rsid w:val="3EBE3EE3"/>
    <w:rsid w:val="3EBF7C5B"/>
    <w:rsid w:val="3EC86B10"/>
    <w:rsid w:val="3ECA2912"/>
    <w:rsid w:val="3ECC7609"/>
    <w:rsid w:val="3ED01E68"/>
    <w:rsid w:val="3ED96F6F"/>
    <w:rsid w:val="3EDD7A90"/>
    <w:rsid w:val="3EDE4585"/>
    <w:rsid w:val="3EE31B9B"/>
    <w:rsid w:val="3EE33949"/>
    <w:rsid w:val="3EE51C59"/>
    <w:rsid w:val="3EEF0540"/>
    <w:rsid w:val="3F1461F9"/>
    <w:rsid w:val="3F2F4DE1"/>
    <w:rsid w:val="3F32042D"/>
    <w:rsid w:val="3F407113"/>
    <w:rsid w:val="3F47037C"/>
    <w:rsid w:val="3F474F82"/>
    <w:rsid w:val="3F485EA2"/>
    <w:rsid w:val="3F4A63DD"/>
    <w:rsid w:val="3F512F43"/>
    <w:rsid w:val="3F5B7984"/>
    <w:rsid w:val="3F6C7DE3"/>
    <w:rsid w:val="3F6F51DD"/>
    <w:rsid w:val="3F7153F9"/>
    <w:rsid w:val="3F740A45"/>
    <w:rsid w:val="3F7647BE"/>
    <w:rsid w:val="3F8A2017"/>
    <w:rsid w:val="3F91115E"/>
    <w:rsid w:val="3F9917D1"/>
    <w:rsid w:val="3F9F3D14"/>
    <w:rsid w:val="3FA05CDE"/>
    <w:rsid w:val="3FA90DA6"/>
    <w:rsid w:val="3FAB3ED2"/>
    <w:rsid w:val="3FAC4683"/>
    <w:rsid w:val="3FAC6431"/>
    <w:rsid w:val="3FB0269F"/>
    <w:rsid w:val="3FB45AB9"/>
    <w:rsid w:val="3FB47094"/>
    <w:rsid w:val="3FC90B32"/>
    <w:rsid w:val="3FDD26ED"/>
    <w:rsid w:val="3FE0432D"/>
    <w:rsid w:val="3FEE07F8"/>
    <w:rsid w:val="3FF658FE"/>
    <w:rsid w:val="3FFD6C8D"/>
    <w:rsid w:val="40026051"/>
    <w:rsid w:val="40181D19"/>
    <w:rsid w:val="404448BC"/>
    <w:rsid w:val="405F34A4"/>
    <w:rsid w:val="405F5252"/>
    <w:rsid w:val="4061277B"/>
    <w:rsid w:val="406665E0"/>
    <w:rsid w:val="40672358"/>
    <w:rsid w:val="40784177"/>
    <w:rsid w:val="40B90E06"/>
    <w:rsid w:val="40C41559"/>
    <w:rsid w:val="40CD48B1"/>
    <w:rsid w:val="40DC4AF4"/>
    <w:rsid w:val="40DE261A"/>
    <w:rsid w:val="40E85247"/>
    <w:rsid w:val="40EA5463"/>
    <w:rsid w:val="40F9596B"/>
    <w:rsid w:val="410302D3"/>
    <w:rsid w:val="410B7187"/>
    <w:rsid w:val="410D1152"/>
    <w:rsid w:val="410F480F"/>
    <w:rsid w:val="411249BA"/>
    <w:rsid w:val="41166258"/>
    <w:rsid w:val="411918A4"/>
    <w:rsid w:val="41202C33"/>
    <w:rsid w:val="4125649B"/>
    <w:rsid w:val="41265D6F"/>
    <w:rsid w:val="41285F8B"/>
    <w:rsid w:val="413E130B"/>
    <w:rsid w:val="41596145"/>
    <w:rsid w:val="4162324B"/>
    <w:rsid w:val="41627D39"/>
    <w:rsid w:val="41676AB4"/>
    <w:rsid w:val="419F30F7"/>
    <w:rsid w:val="41A1034A"/>
    <w:rsid w:val="41B04FF9"/>
    <w:rsid w:val="41B15F81"/>
    <w:rsid w:val="41CC2DBB"/>
    <w:rsid w:val="41D61543"/>
    <w:rsid w:val="41DE4BC7"/>
    <w:rsid w:val="41E00614"/>
    <w:rsid w:val="41E81277"/>
    <w:rsid w:val="41F52B9E"/>
    <w:rsid w:val="41FF4F3E"/>
    <w:rsid w:val="42051E29"/>
    <w:rsid w:val="420F4A55"/>
    <w:rsid w:val="42345558"/>
    <w:rsid w:val="423A41C8"/>
    <w:rsid w:val="425132C0"/>
    <w:rsid w:val="4269685C"/>
    <w:rsid w:val="426B4382"/>
    <w:rsid w:val="42825AEF"/>
    <w:rsid w:val="42864D18"/>
    <w:rsid w:val="42902094"/>
    <w:rsid w:val="42980EEF"/>
    <w:rsid w:val="42997141"/>
    <w:rsid w:val="429A07C3"/>
    <w:rsid w:val="429E4757"/>
    <w:rsid w:val="42A258CA"/>
    <w:rsid w:val="42A653BA"/>
    <w:rsid w:val="42B15B0D"/>
    <w:rsid w:val="42BA2C13"/>
    <w:rsid w:val="42BC698B"/>
    <w:rsid w:val="42BE0955"/>
    <w:rsid w:val="42C45840"/>
    <w:rsid w:val="42CB3072"/>
    <w:rsid w:val="42CD2946"/>
    <w:rsid w:val="42DB79D7"/>
    <w:rsid w:val="42E14644"/>
    <w:rsid w:val="42EB101F"/>
    <w:rsid w:val="42EB7271"/>
    <w:rsid w:val="430B3B50"/>
    <w:rsid w:val="43122A4F"/>
    <w:rsid w:val="43160791"/>
    <w:rsid w:val="43167CE3"/>
    <w:rsid w:val="43171E14"/>
    <w:rsid w:val="432B7377"/>
    <w:rsid w:val="43346E69"/>
    <w:rsid w:val="43370708"/>
    <w:rsid w:val="433E5238"/>
    <w:rsid w:val="435272F0"/>
    <w:rsid w:val="43560B8E"/>
    <w:rsid w:val="43566DE0"/>
    <w:rsid w:val="43615785"/>
    <w:rsid w:val="43664B49"/>
    <w:rsid w:val="437454B8"/>
    <w:rsid w:val="437C436D"/>
    <w:rsid w:val="438576C5"/>
    <w:rsid w:val="43882D11"/>
    <w:rsid w:val="438A637F"/>
    <w:rsid w:val="43911BC6"/>
    <w:rsid w:val="439163CE"/>
    <w:rsid w:val="439671DC"/>
    <w:rsid w:val="43AE09CA"/>
    <w:rsid w:val="43C26223"/>
    <w:rsid w:val="43CC52F4"/>
    <w:rsid w:val="43DC1DD7"/>
    <w:rsid w:val="43E22422"/>
    <w:rsid w:val="43E91A02"/>
    <w:rsid w:val="43EC32A0"/>
    <w:rsid w:val="43EF0FE2"/>
    <w:rsid w:val="43F263DD"/>
    <w:rsid w:val="44110F59"/>
    <w:rsid w:val="441822E7"/>
    <w:rsid w:val="44330ECF"/>
    <w:rsid w:val="444430DC"/>
    <w:rsid w:val="44444E8A"/>
    <w:rsid w:val="444C1F91"/>
    <w:rsid w:val="44557097"/>
    <w:rsid w:val="44654E01"/>
    <w:rsid w:val="4467501D"/>
    <w:rsid w:val="447339C1"/>
    <w:rsid w:val="4473751E"/>
    <w:rsid w:val="447C0AC8"/>
    <w:rsid w:val="448259B3"/>
    <w:rsid w:val="44901E7E"/>
    <w:rsid w:val="44AA0724"/>
    <w:rsid w:val="44B042CE"/>
    <w:rsid w:val="44C4421D"/>
    <w:rsid w:val="44CE0BF8"/>
    <w:rsid w:val="44D20121"/>
    <w:rsid w:val="44D37FBC"/>
    <w:rsid w:val="44D51F86"/>
    <w:rsid w:val="44E1092B"/>
    <w:rsid w:val="44E346A3"/>
    <w:rsid w:val="44EC107E"/>
    <w:rsid w:val="44FA19ED"/>
    <w:rsid w:val="450665E4"/>
    <w:rsid w:val="45132AAF"/>
    <w:rsid w:val="4517259F"/>
    <w:rsid w:val="45223261"/>
    <w:rsid w:val="45240818"/>
    <w:rsid w:val="452627E2"/>
    <w:rsid w:val="45343348"/>
    <w:rsid w:val="453B44DF"/>
    <w:rsid w:val="454315E6"/>
    <w:rsid w:val="4557299B"/>
    <w:rsid w:val="45576E3F"/>
    <w:rsid w:val="455E01CE"/>
    <w:rsid w:val="45633A36"/>
    <w:rsid w:val="456A0921"/>
    <w:rsid w:val="456D6663"/>
    <w:rsid w:val="45742769"/>
    <w:rsid w:val="457B37B3"/>
    <w:rsid w:val="45837C34"/>
    <w:rsid w:val="458D460F"/>
    <w:rsid w:val="459B6D2C"/>
    <w:rsid w:val="45AA6F6F"/>
    <w:rsid w:val="45B61DB8"/>
    <w:rsid w:val="45BE0C6C"/>
    <w:rsid w:val="45C73FC5"/>
    <w:rsid w:val="45C81AEB"/>
    <w:rsid w:val="45D466E2"/>
    <w:rsid w:val="45D77B37"/>
    <w:rsid w:val="45DB537A"/>
    <w:rsid w:val="45E701C3"/>
    <w:rsid w:val="45E76415"/>
    <w:rsid w:val="45EF0E26"/>
    <w:rsid w:val="4614088C"/>
    <w:rsid w:val="461A0599"/>
    <w:rsid w:val="462705C0"/>
    <w:rsid w:val="463E3B5B"/>
    <w:rsid w:val="464C0026"/>
    <w:rsid w:val="46517D32"/>
    <w:rsid w:val="465313B5"/>
    <w:rsid w:val="465644F0"/>
    <w:rsid w:val="465A6BE7"/>
    <w:rsid w:val="466776E2"/>
    <w:rsid w:val="46717A8D"/>
    <w:rsid w:val="467F03FC"/>
    <w:rsid w:val="46854D38"/>
    <w:rsid w:val="46AE0CE1"/>
    <w:rsid w:val="46B06807"/>
    <w:rsid w:val="46B81B60"/>
    <w:rsid w:val="46BD2CD2"/>
    <w:rsid w:val="46DF70EC"/>
    <w:rsid w:val="46E0417E"/>
    <w:rsid w:val="46E110B6"/>
    <w:rsid w:val="46EB783F"/>
    <w:rsid w:val="46EE10DD"/>
    <w:rsid w:val="46F04E55"/>
    <w:rsid w:val="46F26E20"/>
    <w:rsid w:val="470703F1"/>
    <w:rsid w:val="470D1EAB"/>
    <w:rsid w:val="47215957"/>
    <w:rsid w:val="47217705"/>
    <w:rsid w:val="472745EF"/>
    <w:rsid w:val="473D738F"/>
    <w:rsid w:val="47484C91"/>
    <w:rsid w:val="47541888"/>
    <w:rsid w:val="475C698F"/>
    <w:rsid w:val="47663862"/>
    <w:rsid w:val="477B4DB0"/>
    <w:rsid w:val="47881532"/>
    <w:rsid w:val="478F28C0"/>
    <w:rsid w:val="47A04ACD"/>
    <w:rsid w:val="47A0687C"/>
    <w:rsid w:val="47A520E4"/>
    <w:rsid w:val="47AD0F98"/>
    <w:rsid w:val="47B265AF"/>
    <w:rsid w:val="47C06F1E"/>
    <w:rsid w:val="47C36A0E"/>
    <w:rsid w:val="47CC58C3"/>
    <w:rsid w:val="47CD290C"/>
    <w:rsid w:val="47D82F91"/>
    <w:rsid w:val="47DB5B06"/>
    <w:rsid w:val="47DC362C"/>
    <w:rsid w:val="47E2796E"/>
    <w:rsid w:val="47E524E0"/>
    <w:rsid w:val="47E726FC"/>
    <w:rsid w:val="47ED3A8B"/>
    <w:rsid w:val="47ED75E7"/>
    <w:rsid w:val="47F70466"/>
    <w:rsid w:val="48102681"/>
    <w:rsid w:val="48117779"/>
    <w:rsid w:val="481F5625"/>
    <w:rsid w:val="48343468"/>
    <w:rsid w:val="483B0352"/>
    <w:rsid w:val="485E04E5"/>
    <w:rsid w:val="4867383D"/>
    <w:rsid w:val="48677399"/>
    <w:rsid w:val="4872031D"/>
    <w:rsid w:val="487675DC"/>
    <w:rsid w:val="487877F8"/>
    <w:rsid w:val="487A3570"/>
    <w:rsid w:val="487E1BE3"/>
    <w:rsid w:val="48831CF9"/>
    <w:rsid w:val="488A2ADD"/>
    <w:rsid w:val="489363E0"/>
    <w:rsid w:val="48AE321A"/>
    <w:rsid w:val="48B325DE"/>
    <w:rsid w:val="48BC3F2F"/>
    <w:rsid w:val="48C93BB0"/>
    <w:rsid w:val="48CA7928"/>
    <w:rsid w:val="48CD212D"/>
    <w:rsid w:val="48D77AA7"/>
    <w:rsid w:val="48DF1625"/>
    <w:rsid w:val="48FB5D34"/>
    <w:rsid w:val="490966A2"/>
    <w:rsid w:val="490C7F41"/>
    <w:rsid w:val="490D6193"/>
    <w:rsid w:val="49137521"/>
    <w:rsid w:val="49170DBF"/>
    <w:rsid w:val="492E7EB7"/>
    <w:rsid w:val="494B6CBB"/>
    <w:rsid w:val="495C4A24"/>
    <w:rsid w:val="49627B61"/>
    <w:rsid w:val="49635DB3"/>
    <w:rsid w:val="49675177"/>
    <w:rsid w:val="496B110B"/>
    <w:rsid w:val="4981467C"/>
    <w:rsid w:val="498B5309"/>
    <w:rsid w:val="499D2CBB"/>
    <w:rsid w:val="49A10689"/>
    <w:rsid w:val="49A40179"/>
    <w:rsid w:val="49AD34D2"/>
    <w:rsid w:val="49B90028"/>
    <w:rsid w:val="49BF4CDC"/>
    <w:rsid w:val="49C36851"/>
    <w:rsid w:val="49D560C0"/>
    <w:rsid w:val="49D767A1"/>
    <w:rsid w:val="49D92519"/>
    <w:rsid w:val="49F11610"/>
    <w:rsid w:val="49F42EAF"/>
    <w:rsid w:val="49FE1F7F"/>
    <w:rsid w:val="49FE3D2D"/>
    <w:rsid w:val="4A056E6A"/>
    <w:rsid w:val="4A070E34"/>
    <w:rsid w:val="4A08695A"/>
    <w:rsid w:val="4A1672C9"/>
    <w:rsid w:val="4A190B67"/>
    <w:rsid w:val="4A201EF6"/>
    <w:rsid w:val="4A25750C"/>
    <w:rsid w:val="4A4C2CEB"/>
    <w:rsid w:val="4A510301"/>
    <w:rsid w:val="4A513E5D"/>
    <w:rsid w:val="4A5676C5"/>
    <w:rsid w:val="4A62606A"/>
    <w:rsid w:val="4A662F4E"/>
    <w:rsid w:val="4A6D4A0F"/>
    <w:rsid w:val="4A6E22E3"/>
    <w:rsid w:val="4A7039A5"/>
    <w:rsid w:val="4A7D2EA4"/>
    <w:rsid w:val="4A7E6C1C"/>
    <w:rsid w:val="4A82495E"/>
    <w:rsid w:val="4A842484"/>
    <w:rsid w:val="4A954692"/>
    <w:rsid w:val="4A9B1975"/>
    <w:rsid w:val="4AA541A9"/>
    <w:rsid w:val="4AA571F9"/>
    <w:rsid w:val="4AA91EEB"/>
    <w:rsid w:val="4AAF5028"/>
    <w:rsid w:val="4AB9081B"/>
    <w:rsid w:val="4AC00FE3"/>
    <w:rsid w:val="4AD60806"/>
    <w:rsid w:val="4AD93E52"/>
    <w:rsid w:val="4ADA20A4"/>
    <w:rsid w:val="4ADD3943"/>
    <w:rsid w:val="4AE478DC"/>
    <w:rsid w:val="4AF313B8"/>
    <w:rsid w:val="4B0322FB"/>
    <w:rsid w:val="4B075C06"/>
    <w:rsid w:val="4B0C247A"/>
    <w:rsid w:val="4B124A3A"/>
    <w:rsid w:val="4B1C090F"/>
    <w:rsid w:val="4B1D6435"/>
    <w:rsid w:val="4B215F25"/>
    <w:rsid w:val="4B320132"/>
    <w:rsid w:val="4B3B68BB"/>
    <w:rsid w:val="4B466E62"/>
    <w:rsid w:val="4B4A023B"/>
    <w:rsid w:val="4B4E65EF"/>
    <w:rsid w:val="4B5A4F93"/>
    <w:rsid w:val="4B693428"/>
    <w:rsid w:val="4B6E0A3F"/>
    <w:rsid w:val="4B786F2D"/>
    <w:rsid w:val="4B8D5369"/>
    <w:rsid w:val="4B9304A5"/>
    <w:rsid w:val="4B95302F"/>
    <w:rsid w:val="4BA44460"/>
    <w:rsid w:val="4BAF3531"/>
    <w:rsid w:val="4BB24DCF"/>
    <w:rsid w:val="4BB328F5"/>
    <w:rsid w:val="4BB5041C"/>
    <w:rsid w:val="4BB57ADD"/>
    <w:rsid w:val="4BB943B0"/>
    <w:rsid w:val="4BBE3774"/>
    <w:rsid w:val="4BCD1C09"/>
    <w:rsid w:val="4BDD78D8"/>
    <w:rsid w:val="4BE551A5"/>
    <w:rsid w:val="4BF076A6"/>
    <w:rsid w:val="4BF2341E"/>
    <w:rsid w:val="4BF54CBC"/>
    <w:rsid w:val="4BFE7FF0"/>
    <w:rsid w:val="4BFF5B3B"/>
    <w:rsid w:val="4C1F6E9E"/>
    <w:rsid w:val="4C235CCD"/>
    <w:rsid w:val="4C3103EA"/>
    <w:rsid w:val="4C343A36"/>
    <w:rsid w:val="4C3A2790"/>
    <w:rsid w:val="4C43011D"/>
    <w:rsid w:val="4C583BC9"/>
    <w:rsid w:val="4C5B5467"/>
    <w:rsid w:val="4C675BBA"/>
    <w:rsid w:val="4C742085"/>
    <w:rsid w:val="4C786019"/>
    <w:rsid w:val="4C885B30"/>
    <w:rsid w:val="4C8A7AFA"/>
    <w:rsid w:val="4C8C3872"/>
    <w:rsid w:val="4CB02985"/>
    <w:rsid w:val="4CB15087"/>
    <w:rsid w:val="4CBE1552"/>
    <w:rsid w:val="4CC0176E"/>
    <w:rsid w:val="4CC26468"/>
    <w:rsid w:val="4CD15729"/>
    <w:rsid w:val="4CD268FC"/>
    <w:rsid w:val="4CE511D4"/>
    <w:rsid w:val="4CEE62DB"/>
    <w:rsid w:val="4CEF5BAF"/>
    <w:rsid w:val="4CF51418"/>
    <w:rsid w:val="4CF7339A"/>
    <w:rsid w:val="4CFD651E"/>
    <w:rsid w:val="4D0478AD"/>
    <w:rsid w:val="4D0A1810"/>
    <w:rsid w:val="4D153868"/>
    <w:rsid w:val="4D3C67B9"/>
    <w:rsid w:val="4D502AF2"/>
    <w:rsid w:val="4D5A175A"/>
    <w:rsid w:val="4D61070D"/>
    <w:rsid w:val="4D662315"/>
    <w:rsid w:val="4D77007F"/>
    <w:rsid w:val="4D7F0CE1"/>
    <w:rsid w:val="4D866514"/>
    <w:rsid w:val="4D8E7176"/>
    <w:rsid w:val="4DAD65EF"/>
    <w:rsid w:val="4DC94652"/>
    <w:rsid w:val="4DCC5629"/>
    <w:rsid w:val="4DCF7EBB"/>
    <w:rsid w:val="4DD76D6F"/>
    <w:rsid w:val="4DDE00FE"/>
    <w:rsid w:val="4DDF3E76"/>
    <w:rsid w:val="4DF01BDF"/>
    <w:rsid w:val="4DF53699"/>
    <w:rsid w:val="4DF571F5"/>
    <w:rsid w:val="4E0631B0"/>
    <w:rsid w:val="4E0B6A19"/>
    <w:rsid w:val="4E0F475B"/>
    <w:rsid w:val="4E1D74F7"/>
    <w:rsid w:val="4E2A3343"/>
    <w:rsid w:val="4E2C6E0F"/>
    <w:rsid w:val="4E313347"/>
    <w:rsid w:val="4E3C4E24"/>
    <w:rsid w:val="4E50267E"/>
    <w:rsid w:val="4E571C5E"/>
    <w:rsid w:val="4E8642F1"/>
    <w:rsid w:val="4E922C96"/>
    <w:rsid w:val="4E9B5FEF"/>
    <w:rsid w:val="4EA34EA3"/>
    <w:rsid w:val="4EB40E5E"/>
    <w:rsid w:val="4EB470B0"/>
    <w:rsid w:val="4EC24358"/>
    <w:rsid w:val="4EDB463D"/>
    <w:rsid w:val="4EDB6309"/>
    <w:rsid w:val="4EDE7C89"/>
    <w:rsid w:val="4EFA0F67"/>
    <w:rsid w:val="4EFD2805"/>
    <w:rsid w:val="4F0516BA"/>
    <w:rsid w:val="4F082F58"/>
    <w:rsid w:val="4F0C0C9A"/>
    <w:rsid w:val="4F135B85"/>
    <w:rsid w:val="4F147B4F"/>
    <w:rsid w:val="4F164C98"/>
    <w:rsid w:val="4F1813ED"/>
    <w:rsid w:val="4F1F277C"/>
    <w:rsid w:val="4F334479"/>
    <w:rsid w:val="4F3D0E54"/>
    <w:rsid w:val="4F443F90"/>
    <w:rsid w:val="4F50502B"/>
    <w:rsid w:val="4F6454C8"/>
    <w:rsid w:val="4F6463E1"/>
    <w:rsid w:val="4F65293D"/>
    <w:rsid w:val="4F6A776F"/>
    <w:rsid w:val="4F822698"/>
    <w:rsid w:val="4F98252E"/>
    <w:rsid w:val="4F9F566B"/>
    <w:rsid w:val="4FA64C4B"/>
    <w:rsid w:val="4FAE0225"/>
    <w:rsid w:val="4FAE3B00"/>
    <w:rsid w:val="4FC55FCF"/>
    <w:rsid w:val="4FD60ED8"/>
    <w:rsid w:val="4FE37C4D"/>
    <w:rsid w:val="4FE439C5"/>
    <w:rsid w:val="4FF210DB"/>
    <w:rsid w:val="50146059"/>
    <w:rsid w:val="501E6ED7"/>
    <w:rsid w:val="503404A9"/>
    <w:rsid w:val="50485D02"/>
    <w:rsid w:val="50566671"/>
    <w:rsid w:val="50596845"/>
    <w:rsid w:val="506568B4"/>
    <w:rsid w:val="50772144"/>
    <w:rsid w:val="50830AE8"/>
    <w:rsid w:val="508605D9"/>
    <w:rsid w:val="508807F5"/>
    <w:rsid w:val="50A8054F"/>
    <w:rsid w:val="50AF18DD"/>
    <w:rsid w:val="50C64E79"/>
    <w:rsid w:val="50D13F4A"/>
    <w:rsid w:val="50F814D6"/>
    <w:rsid w:val="50F8397F"/>
    <w:rsid w:val="50FB4B23"/>
    <w:rsid w:val="51020906"/>
    <w:rsid w:val="510559A1"/>
    <w:rsid w:val="5107241E"/>
    <w:rsid w:val="510C55F8"/>
    <w:rsid w:val="510D2AA8"/>
    <w:rsid w:val="5119769F"/>
    <w:rsid w:val="51295B34"/>
    <w:rsid w:val="513577D0"/>
    <w:rsid w:val="51536D04"/>
    <w:rsid w:val="515F1555"/>
    <w:rsid w:val="5167665C"/>
    <w:rsid w:val="517D5E7F"/>
    <w:rsid w:val="517F5754"/>
    <w:rsid w:val="51915487"/>
    <w:rsid w:val="519B00B4"/>
    <w:rsid w:val="51AB7480"/>
    <w:rsid w:val="51C969CF"/>
    <w:rsid w:val="51D3784E"/>
    <w:rsid w:val="51DB6702"/>
    <w:rsid w:val="51DC4954"/>
    <w:rsid w:val="51E23F34"/>
    <w:rsid w:val="51E47CAD"/>
    <w:rsid w:val="51E541F9"/>
    <w:rsid w:val="51E835B2"/>
    <w:rsid w:val="51F55A16"/>
    <w:rsid w:val="51FF0643"/>
    <w:rsid w:val="52043EAB"/>
    <w:rsid w:val="520D0FB1"/>
    <w:rsid w:val="52187956"/>
    <w:rsid w:val="52203BF7"/>
    <w:rsid w:val="52214A5D"/>
    <w:rsid w:val="522E2CD6"/>
    <w:rsid w:val="52307478"/>
    <w:rsid w:val="52372446"/>
    <w:rsid w:val="523E73BD"/>
    <w:rsid w:val="524349D3"/>
    <w:rsid w:val="52441C12"/>
    <w:rsid w:val="524644C3"/>
    <w:rsid w:val="524A2826"/>
    <w:rsid w:val="52530FF8"/>
    <w:rsid w:val="52531BCD"/>
    <w:rsid w:val="525A1D1D"/>
    <w:rsid w:val="525A7F6F"/>
    <w:rsid w:val="526232F4"/>
    <w:rsid w:val="526512C0"/>
    <w:rsid w:val="526B5CD8"/>
    <w:rsid w:val="52701540"/>
    <w:rsid w:val="527C6137"/>
    <w:rsid w:val="527F3531"/>
    <w:rsid w:val="528D20F2"/>
    <w:rsid w:val="52AD4542"/>
    <w:rsid w:val="52BC4786"/>
    <w:rsid w:val="52C35C84"/>
    <w:rsid w:val="52DA62C4"/>
    <w:rsid w:val="52F750F6"/>
    <w:rsid w:val="52FB3500"/>
    <w:rsid w:val="52FC742D"/>
    <w:rsid w:val="53034162"/>
    <w:rsid w:val="530F6FAB"/>
    <w:rsid w:val="53160B7D"/>
    <w:rsid w:val="533662E6"/>
    <w:rsid w:val="533D58C6"/>
    <w:rsid w:val="533D7674"/>
    <w:rsid w:val="5345477B"/>
    <w:rsid w:val="53642E53"/>
    <w:rsid w:val="53837051"/>
    <w:rsid w:val="53937294"/>
    <w:rsid w:val="5394300C"/>
    <w:rsid w:val="53AB0A82"/>
    <w:rsid w:val="53B06098"/>
    <w:rsid w:val="53B50EB2"/>
    <w:rsid w:val="53C438F2"/>
    <w:rsid w:val="53EF7E72"/>
    <w:rsid w:val="53F51CFD"/>
    <w:rsid w:val="53FA37B7"/>
    <w:rsid w:val="53FC12DE"/>
    <w:rsid w:val="53FD32A8"/>
    <w:rsid w:val="53FF492A"/>
    <w:rsid w:val="540463E4"/>
    <w:rsid w:val="5406215C"/>
    <w:rsid w:val="541019D0"/>
    <w:rsid w:val="54104D89"/>
    <w:rsid w:val="541A66F2"/>
    <w:rsid w:val="541D2076"/>
    <w:rsid w:val="542076D2"/>
    <w:rsid w:val="542425E2"/>
    <w:rsid w:val="54324CFF"/>
    <w:rsid w:val="544E765F"/>
    <w:rsid w:val="545033D7"/>
    <w:rsid w:val="54510E06"/>
    <w:rsid w:val="545729B8"/>
    <w:rsid w:val="546450D5"/>
    <w:rsid w:val="546E1AAF"/>
    <w:rsid w:val="54790B80"/>
    <w:rsid w:val="547A22DE"/>
    <w:rsid w:val="54931516"/>
    <w:rsid w:val="549C486F"/>
    <w:rsid w:val="54A159E1"/>
    <w:rsid w:val="54B020C8"/>
    <w:rsid w:val="54B43966"/>
    <w:rsid w:val="54B55930"/>
    <w:rsid w:val="54C85664"/>
    <w:rsid w:val="54D47B64"/>
    <w:rsid w:val="54E87AB4"/>
    <w:rsid w:val="54F55D2D"/>
    <w:rsid w:val="54FE2E33"/>
    <w:rsid w:val="55052414"/>
    <w:rsid w:val="550A7A2A"/>
    <w:rsid w:val="551709E9"/>
    <w:rsid w:val="55254864"/>
    <w:rsid w:val="55286102"/>
    <w:rsid w:val="55366A71"/>
    <w:rsid w:val="55480552"/>
    <w:rsid w:val="554A6449"/>
    <w:rsid w:val="55524F2D"/>
    <w:rsid w:val="555C7B5A"/>
    <w:rsid w:val="55684751"/>
    <w:rsid w:val="55696A09"/>
    <w:rsid w:val="556A671B"/>
    <w:rsid w:val="556E620B"/>
    <w:rsid w:val="55766E6E"/>
    <w:rsid w:val="5588094F"/>
    <w:rsid w:val="55A82D9F"/>
    <w:rsid w:val="55AF2380"/>
    <w:rsid w:val="55B160F8"/>
    <w:rsid w:val="55B33C1E"/>
    <w:rsid w:val="55B61960"/>
    <w:rsid w:val="55BC2260"/>
    <w:rsid w:val="55C220B3"/>
    <w:rsid w:val="55C4407D"/>
    <w:rsid w:val="55D63DB0"/>
    <w:rsid w:val="55D83247"/>
    <w:rsid w:val="55D911AB"/>
    <w:rsid w:val="55D95524"/>
    <w:rsid w:val="55DD513F"/>
    <w:rsid w:val="55E120FF"/>
    <w:rsid w:val="55E738C7"/>
    <w:rsid w:val="55F83D27"/>
    <w:rsid w:val="55FA7A9F"/>
    <w:rsid w:val="56004989"/>
    <w:rsid w:val="56063A6E"/>
    <w:rsid w:val="56085B21"/>
    <w:rsid w:val="560B0B23"/>
    <w:rsid w:val="561072C2"/>
    <w:rsid w:val="56150435"/>
    <w:rsid w:val="561548D9"/>
    <w:rsid w:val="56386F4A"/>
    <w:rsid w:val="56401618"/>
    <w:rsid w:val="5645702B"/>
    <w:rsid w:val="56574EF1"/>
    <w:rsid w:val="565B0872"/>
    <w:rsid w:val="56707D61"/>
    <w:rsid w:val="567A298E"/>
    <w:rsid w:val="567C4958"/>
    <w:rsid w:val="567D5FDA"/>
    <w:rsid w:val="56847368"/>
    <w:rsid w:val="5689497F"/>
    <w:rsid w:val="5697353F"/>
    <w:rsid w:val="569D042A"/>
    <w:rsid w:val="56B04601"/>
    <w:rsid w:val="56B539C6"/>
    <w:rsid w:val="56B55774"/>
    <w:rsid w:val="56C8194B"/>
    <w:rsid w:val="56F42740"/>
    <w:rsid w:val="570B33D5"/>
    <w:rsid w:val="571903F8"/>
    <w:rsid w:val="57234DD3"/>
    <w:rsid w:val="5728063B"/>
    <w:rsid w:val="572D7A00"/>
    <w:rsid w:val="57367FFD"/>
    <w:rsid w:val="574D3BFE"/>
    <w:rsid w:val="5756232F"/>
    <w:rsid w:val="57831589"/>
    <w:rsid w:val="578669AD"/>
    <w:rsid w:val="578A4E52"/>
    <w:rsid w:val="57945CD1"/>
    <w:rsid w:val="57961A49"/>
    <w:rsid w:val="57AC4DC9"/>
    <w:rsid w:val="57BB14B0"/>
    <w:rsid w:val="57C36DC2"/>
    <w:rsid w:val="57C739B1"/>
    <w:rsid w:val="57C9714D"/>
    <w:rsid w:val="57CF0AB7"/>
    <w:rsid w:val="57D52571"/>
    <w:rsid w:val="57DB2385"/>
    <w:rsid w:val="57F10A2D"/>
    <w:rsid w:val="57FD5624"/>
    <w:rsid w:val="580F5357"/>
    <w:rsid w:val="582B2191"/>
    <w:rsid w:val="58342245"/>
    <w:rsid w:val="583A0626"/>
    <w:rsid w:val="583A5CB7"/>
    <w:rsid w:val="58421289"/>
    <w:rsid w:val="584B2834"/>
    <w:rsid w:val="58501BF8"/>
    <w:rsid w:val="58533496"/>
    <w:rsid w:val="58562F86"/>
    <w:rsid w:val="5871047F"/>
    <w:rsid w:val="587A2F79"/>
    <w:rsid w:val="587D49B7"/>
    <w:rsid w:val="587F6039"/>
    <w:rsid w:val="58845D45"/>
    <w:rsid w:val="58951D01"/>
    <w:rsid w:val="589A10C5"/>
    <w:rsid w:val="58AB32D2"/>
    <w:rsid w:val="58AE691E"/>
    <w:rsid w:val="58BB4FFB"/>
    <w:rsid w:val="58C148A4"/>
    <w:rsid w:val="58CD3249"/>
    <w:rsid w:val="58D2085F"/>
    <w:rsid w:val="58D30568"/>
    <w:rsid w:val="58D5034F"/>
    <w:rsid w:val="58E30CBE"/>
    <w:rsid w:val="58E467E4"/>
    <w:rsid w:val="58E6255C"/>
    <w:rsid w:val="58F307D5"/>
    <w:rsid w:val="58F46A27"/>
    <w:rsid w:val="58F77D70"/>
    <w:rsid w:val="58FA1B64"/>
    <w:rsid w:val="5915074C"/>
    <w:rsid w:val="5915699E"/>
    <w:rsid w:val="59253085"/>
    <w:rsid w:val="593908DE"/>
    <w:rsid w:val="593C06C3"/>
    <w:rsid w:val="594D4389"/>
    <w:rsid w:val="59554FEC"/>
    <w:rsid w:val="59682F71"/>
    <w:rsid w:val="596D0588"/>
    <w:rsid w:val="597162CA"/>
    <w:rsid w:val="59723DF0"/>
    <w:rsid w:val="59771406"/>
    <w:rsid w:val="59796F2C"/>
    <w:rsid w:val="59831B59"/>
    <w:rsid w:val="59861649"/>
    <w:rsid w:val="598A2EE8"/>
    <w:rsid w:val="59A26483"/>
    <w:rsid w:val="59A461DE"/>
    <w:rsid w:val="59A65848"/>
    <w:rsid w:val="59B14918"/>
    <w:rsid w:val="59C12681"/>
    <w:rsid w:val="59D979CB"/>
    <w:rsid w:val="59EA7E2A"/>
    <w:rsid w:val="5A032C9A"/>
    <w:rsid w:val="5A0A227A"/>
    <w:rsid w:val="5A186745"/>
    <w:rsid w:val="5A1B4488"/>
    <w:rsid w:val="5A250E62"/>
    <w:rsid w:val="5A307F33"/>
    <w:rsid w:val="5A34228F"/>
    <w:rsid w:val="5A3612C1"/>
    <w:rsid w:val="5A494B51"/>
    <w:rsid w:val="5A4968FF"/>
    <w:rsid w:val="5A4C3390"/>
    <w:rsid w:val="5A50198E"/>
    <w:rsid w:val="5A517EA9"/>
    <w:rsid w:val="5A7476F4"/>
    <w:rsid w:val="5A767910"/>
    <w:rsid w:val="5A8552B0"/>
    <w:rsid w:val="5A871B1D"/>
    <w:rsid w:val="5A8E4C59"/>
    <w:rsid w:val="5A93401E"/>
    <w:rsid w:val="5A971D60"/>
    <w:rsid w:val="5AA2652E"/>
    <w:rsid w:val="5AA77AC9"/>
    <w:rsid w:val="5AB32B59"/>
    <w:rsid w:val="5AB521E6"/>
    <w:rsid w:val="5ABF3065"/>
    <w:rsid w:val="5AE605F2"/>
    <w:rsid w:val="5AE72769"/>
    <w:rsid w:val="5AF2343A"/>
    <w:rsid w:val="5AF85B05"/>
    <w:rsid w:val="5AFD593B"/>
    <w:rsid w:val="5B190DC8"/>
    <w:rsid w:val="5B1A64ED"/>
    <w:rsid w:val="5B1E7D8B"/>
    <w:rsid w:val="5B3475AF"/>
    <w:rsid w:val="5B386973"/>
    <w:rsid w:val="5B3E6680"/>
    <w:rsid w:val="5B484E08"/>
    <w:rsid w:val="5B4A407B"/>
    <w:rsid w:val="5B555777"/>
    <w:rsid w:val="5B5A4B3C"/>
    <w:rsid w:val="5B5B00B0"/>
    <w:rsid w:val="5B6559BA"/>
    <w:rsid w:val="5B6B0AF7"/>
    <w:rsid w:val="5B7200D7"/>
    <w:rsid w:val="5B765E19"/>
    <w:rsid w:val="5B7F2398"/>
    <w:rsid w:val="5B835E40"/>
    <w:rsid w:val="5B8F6EDB"/>
    <w:rsid w:val="5B9A06E1"/>
    <w:rsid w:val="5BA26C0E"/>
    <w:rsid w:val="5BB8013B"/>
    <w:rsid w:val="5BCF1086"/>
    <w:rsid w:val="5BD20B76"/>
    <w:rsid w:val="5BD62414"/>
    <w:rsid w:val="5BE2700B"/>
    <w:rsid w:val="5BE80399"/>
    <w:rsid w:val="5BED775E"/>
    <w:rsid w:val="5BF1724E"/>
    <w:rsid w:val="5C043425"/>
    <w:rsid w:val="5C05719D"/>
    <w:rsid w:val="5C186ED1"/>
    <w:rsid w:val="5C250119"/>
    <w:rsid w:val="5C2D3FFE"/>
    <w:rsid w:val="5C321615"/>
    <w:rsid w:val="5C34538D"/>
    <w:rsid w:val="5C4850FD"/>
    <w:rsid w:val="5C5B0B6B"/>
    <w:rsid w:val="5C5D48E3"/>
    <w:rsid w:val="5C675762"/>
    <w:rsid w:val="5C846314"/>
    <w:rsid w:val="5C8F6A67"/>
    <w:rsid w:val="5C9C45EC"/>
    <w:rsid w:val="5C9F4BDD"/>
    <w:rsid w:val="5CA00E53"/>
    <w:rsid w:val="5CB0535B"/>
    <w:rsid w:val="5CB07109"/>
    <w:rsid w:val="5CC93D27"/>
    <w:rsid w:val="5CCB3F43"/>
    <w:rsid w:val="5CDA5F34"/>
    <w:rsid w:val="5CE2128D"/>
    <w:rsid w:val="5CE768A3"/>
    <w:rsid w:val="5CEE5E83"/>
    <w:rsid w:val="5D093DB9"/>
    <w:rsid w:val="5D107BA8"/>
    <w:rsid w:val="5D1900CC"/>
    <w:rsid w:val="5D1E0517"/>
    <w:rsid w:val="5D23672A"/>
    <w:rsid w:val="5D284EF1"/>
    <w:rsid w:val="5D292A17"/>
    <w:rsid w:val="5D293F99"/>
    <w:rsid w:val="5D296EBB"/>
    <w:rsid w:val="5D2C42B6"/>
    <w:rsid w:val="5D4810F0"/>
    <w:rsid w:val="5D4B6E32"/>
    <w:rsid w:val="5D4D6706"/>
    <w:rsid w:val="5D4E18AD"/>
    <w:rsid w:val="5D55380D"/>
    <w:rsid w:val="5D5F28DD"/>
    <w:rsid w:val="5D605271"/>
    <w:rsid w:val="5D662547"/>
    <w:rsid w:val="5D731EE5"/>
    <w:rsid w:val="5D755C5D"/>
    <w:rsid w:val="5D79131A"/>
    <w:rsid w:val="5D79399F"/>
    <w:rsid w:val="5D9537B3"/>
    <w:rsid w:val="5D981B7C"/>
    <w:rsid w:val="5DA558E5"/>
    <w:rsid w:val="5DD15589"/>
    <w:rsid w:val="5DD92690"/>
    <w:rsid w:val="5DE51034"/>
    <w:rsid w:val="5DFB2606"/>
    <w:rsid w:val="5DFC1EDA"/>
    <w:rsid w:val="5E0D40E7"/>
    <w:rsid w:val="5E174F66"/>
    <w:rsid w:val="5E180D61"/>
    <w:rsid w:val="5E316028"/>
    <w:rsid w:val="5E322C3C"/>
    <w:rsid w:val="5E3F6EB8"/>
    <w:rsid w:val="5E4A533B"/>
    <w:rsid w:val="5E4F64AE"/>
    <w:rsid w:val="5E565A8E"/>
    <w:rsid w:val="5E5C0F3E"/>
    <w:rsid w:val="5E60690D"/>
    <w:rsid w:val="5E653F23"/>
    <w:rsid w:val="5E6A778C"/>
    <w:rsid w:val="5E6E2DD8"/>
    <w:rsid w:val="5E79177D"/>
    <w:rsid w:val="5E864F33"/>
    <w:rsid w:val="5E870FAD"/>
    <w:rsid w:val="5E88447C"/>
    <w:rsid w:val="5E954808"/>
    <w:rsid w:val="5E99597B"/>
    <w:rsid w:val="5E9F7435"/>
    <w:rsid w:val="5EAA5DDA"/>
    <w:rsid w:val="5EB804F7"/>
    <w:rsid w:val="5EB84053"/>
    <w:rsid w:val="5ECE7D1A"/>
    <w:rsid w:val="5EDD25CB"/>
    <w:rsid w:val="5EDF7832"/>
    <w:rsid w:val="5EF62142"/>
    <w:rsid w:val="5EF62DCD"/>
    <w:rsid w:val="5F1662CE"/>
    <w:rsid w:val="5F2008E0"/>
    <w:rsid w:val="5F385194"/>
    <w:rsid w:val="5F3A53B0"/>
    <w:rsid w:val="5F48616F"/>
    <w:rsid w:val="5F593A88"/>
    <w:rsid w:val="5F775CBC"/>
    <w:rsid w:val="5F7A1C50"/>
    <w:rsid w:val="5F84662B"/>
    <w:rsid w:val="5F97635E"/>
    <w:rsid w:val="5FBF4E5A"/>
    <w:rsid w:val="5FCC6587"/>
    <w:rsid w:val="5FCD1D80"/>
    <w:rsid w:val="5FD27396"/>
    <w:rsid w:val="5FD44EBD"/>
    <w:rsid w:val="5FD94800"/>
    <w:rsid w:val="5FDF58FA"/>
    <w:rsid w:val="5FE07D05"/>
    <w:rsid w:val="5FE570CA"/>
    <w:rsid w:val="5FE82922"/>
    <w:rsid w:val="5FF4555F"/>
    <w:rsid w:val="5FF612D7"/>
    <w:rsid w:val="5FFE018B"/>
    <w:rsid w:val="5FFE63DD"/>
    <w:rsid w:val="60002155"/>
    <w:rsid w:val="600227CA"/>
    <w:rsid w:val="60120613"/>
    <w:rsid w:val="601B0D3D"/>
    <w:rsid w:val="60200102"/>
    <w:rsid w:val="60234553"/>
    <w:rsid w:val="602D281F"/>
    <w:rsid w:val="602E64CF"/>
    <w:rsid w:val="602F2A3B"/>
    <w:rsid w:val="60307A21"/>
    <w:rsid w:val="603B318E"/>
    <w:rsid w:val="604364E6"/>
    <w:rsid w:val="6051475F"/>
    <w:rsid w:val="60561D75"/>
    <w:rsid w:val="60654045"/>
    <w:rsid w:val="606C3DEF"/>
    <w:rsid w:val="606D5311"/>
    <w:rsid w:val="606F72DB"/>
    <w:rsid w:val="6077107C"/>
    <w:rsid w:val="60787F3E"/>
    <w:rsid w:val="607C7302"/>
    <w:rsid w:val="60940AF0"/>
    <w:rsid w:val="609805E0"/>
    <w:rsid w:val="6098413C"/>
    <w:rsid w:val="609C0396"/>
    <w:rsid w:val="609D5BF6"/>
    <w:rsid w:val="60A9459B"/>
    <w:rsid w:val="60AE2A12"/>
    <w:rsid w:val="60AE3960"/>
    <w:rsid w:val="60BF5B6D"/>
    <w:rsid w:val="60C767CF"/>
    <w:rsid w:val="60D8421A"/>
    <w:rsid w:val="60D84E80"/>
    <w:rsid w:val="60E47381"/>
    <w:rsid w:val="60E5134B"/>
    <w:rsid w:val="60E750C3"/>
    <w:rsid w:val="60FA0884"/>
    <w:rsid w:val="610619ED"/>
    <w:rsid w:val="610C4B2A"/>
    <w:rsid w:val="610E08A2"/>
    <w:rsid w:val="611759A9"/>
    <w:rsid w:val="611F2AAF"/>
    <w:rsid w:val="61241E74"/>
    <w:rsid w:val="6129748A"/>
    <w:rsid w:val="612B7F86"/>
    <w:rsid w:val="613829DC"/>
    <w:rsid w:val="613A1697"/>
    <w:rsid w:val="613B7125"/>
    <w:rsid w:val="613F3EE8"/>
    <w:rsid w:val="61447E20"/>
    <w:rsid w:val="61477910"/>
    <w:rsid w:val="615564D1"/>
    <w:rsid w:val="61581B1D"/>
    <w:rsid w:val="615F2EAC"/>
    <w:rsid w:val="616B7AA3"/>
    <w:rsid w:val="61700C15"/>
    <w:rsid w:val="618648DC"/>
    <w:rsid w:val="619012B7"/>
    <w:rsid w:val="619A2136"/>
    <w:rsid w:val="619A3EE4"/>
    <w:rsid w:val="619C1A0A"/>
    <w:rsid w:val="61BF6E9A"/>
    <w:rsid w:val="61D85AC4"/>
    <w:rsid w:val="620A72BB"/>
    <w:rsid w:val="62173786"/>
    <w:rsid w:val="621E68C3"/>
    <w:rsid w:val="622163B3"/>
    <w:rsid w:val="62562501"/>
    <w:rsid w:val="625E13B5"/>
    <w:rsid w:val="626F5370"/>
    <w:rsid w:val="627A1826"/>
    <w:rsid w:val="6291178B"/>
    <w:rsid w:val="629372B1"/>
    <w:rsid w:val="62993E27"/>
    <w:rsid w:val="62A24544"/>
    <w:rsid w:val="62AA63A9"/>
    <w:rsid w:val="62AC0373"/>
    <w:rsid w:val="62AE40EB"/>
    <w:rsid w:val="62B17737"/>
    <w:rsid w:val="62B47227"/>
    <w:rsid w:val="62C81EB3"/>
    <w:rsid w:val="62D13935"/>
    <w:rsid w:val="62E33669"/>
    <w:rsid w:val="62EC4C13"/>
    <w:rsid w:val="62F67840"/>
    <w:rsid w:val="62FB30A8"/>
    <w:rsid w:val="62FD472A"/>
    <w:rsid w:val="630011E1"/>
    <w:rsid w:val="63027F93"/>
    <w:rsid w:val="630930CF"/>
    <w:rsid w:val="630C0E11"/>
    <w:rsid w:val="633D0FCB"/>
    <w:rsid w:val="634E31D8"/>
    <w:rsid w:val="635059F5"/>
    <w:rsid w:val="635602DE"/>
    <w:rsid w:val="6356208C"/>
    <w:rsid w:val="636D7690"/>
    <w:rsid w:val="63716EC6"/>
    <w:rsid w:val="63727B76"/>
    <w:rsid w:val="638702D0"/>
    <w:rsid w:val="6392349A"/>
    <w:rsid w:val="63926B94"/>
    <w:rsid w:val="63A177AC"/>
    <w:rsid w:val="63A66B70"/>
    <w:rsid w:val="63B70D7D"/>
    <w:rsid w:val="63BA261B"/>
    <w:rsid w:val="63BF7C32"/>
    <w:rsid w:val="63D2732C"/>
    <w:rsid w:val="63D3192F"/>
    <w:rsid w:val="63EA73A4"/>
    <w:rsid w:val="63FA6EBC"/>
    <w:rsid w:val="64047D3A"/>
    <w:rsid w:val="64055F8C"/>
    <w:rsid w:val="6417181C"/>
    <w:rsid w:val="642B176B"/>
    <w:rsid w:val="642B3519"/>
    <w:rsid w:val="64386111"/>
    <w:rsid w:val="64393E88"/>
    <w:rsid w:val="643A712A"/>
    <w:rsid w:val="64416899"/>
    <w:rsid w:val="64526CF8"/>
    <w:rsid w:val="649474DD"/>
    <w:rsid w:val="649C61C5"/>
    <w:rsid w:val="64A21E1D"/>
    <w:rsid w:val="64B654D9"/>
    <w:rsid w:val="64B81251"/>
    <w:rsid w:val="64D67929"/>
    <w:rsid w:val="64D67E26"/>
    <w:rsid w:val="64DE67DD"/>
    <w:rsid w:val="64E831B8"/>
    <w:rsid w:val="65037FF2"/>
    <w:rsid w:val="650D2C1F"/>
    <w:rsid w:val="651A5A67"/>
    <w:rsid w:val="651D2E62"/>
    <w:rsid w:val="65200BA4"/>
    <w:rsid w:val="653463FD"/>
    <w:rsid w:val="65385EEE"/>
    <w:rsid w:val="654C7BEB"/>
    <w:rsid w:val="65515201"/>
    <w:rsid w:val="65540B5A"/>
    <w:rsid w:val="65554CF2"/>
    <w:rsid w:val="655B7E2E"/>
    <w:rsid w:val="656C5B97"/>
    <w:rsid w:val="656F18FF"/>
    <w:rsid w:val="65756075"/>
    <w:rsid w:val="65847385"/>
    <w:rsid w:val="65874EDE"/>
    <w:rsid w:val="659843C7"/>
    <w:rsid w:val="65AB2B63"/>
    <w:rsid w:val="65AC2402"/>
    <w:rsid w:val="65B01F28"/>
    <w:rsid w:val="65B41720"/>
    <w:rsid w:val="65BB267B"/>
    <w:rsid w:val="65C94D48"/>
    <w:rsid w:val="65CB0B10"/>
    <w:rsid w:val="65DA0D53"/>
    <w:rsid w:val="65DF6C6E"/>
    <w:rsid w:val="65E9368C"/>
    <w:rsid w:val="65F30067"/>
    <w:rsid w:val="6609788A"/>
    <w:rsid w:val="6612673F"/>
    <w:rsid w:val="6632293D"/>
    <w:rsid w:val="6635404B"/>
    <w:rsid w:val="66410DD2"/>
    <w:rsid w:val="66482160"/>
    <w:rsid w:val="664B39FF"/>
    <w:rsid w:val="66501015"/>
    <w:rsid w:val="66565FC0"/>
    <w:rsid w:val="665A00E6"/>
    <w:rsid w:val="66611474"/>
    <w:rsid w:val="667161A4"/>
    <w:rsid w:val="66756CCD"/>
    <w:rsid w:val="66772A46"/>
    <w:rsid w:val="667E2026"/>
    <w:rsid w:val="66860EDB"/>
    <w:rsid w:val="668B029F"/>
    <w:rsid w:val="669058B5"/>
    <w:rsid w:val="66925AD1"/>
    <w:rsid w:val="669453A6"/>
    <w:rsid w:val="66A575B3"/>
    <w:rsid w:val="66C33EDD"/>
    <w:rsid w:val="66C35C8B"/>
    <w:rsid w:val="66D02156"/>
    <w:rsid w:val="66E520A5"/>
    <w:rsid w:val="66F44096"/>
    <w:rsid w:val="66FE6CC3"/>
    <w:rsid w:val="67000C8D"/>
    <w:rsid w:val="67006EDF"/>
    <w:rsid w:val="67024A05"/>
    <w:rsid w:val="670342D9"/>
    <w:rsid w:val="67037397"/>
    <w:rsid w:val="670818F0"/>
    <w:rsid w:val="67310E46"/>
    <w:rsid w:val="673646AF"/>
    <w:rsid w:val="673B3A73"/>
    <w:rsid w:val="674768BC"/>
    <w:rsid w:val="674C3ED2"/>
    <w:rsid w:val="676A6106"/>
    <w:rsid w:val="67737443"/>
    <w:rsid w:val="67753C7B"/>
    <w:rsid w:val="677A3280"/>
    <w:rsid w:val="677C5DF3"/>
    <w:rsid w:val="678371C8"/>
    <w:rsid w:val="678E0047"/>
    <w:rsid w:val="679459C7"/>
    <w:rsid w:val="67A4786A"/>
    <w:rsid w:val="67A5598E"/>
    <w:rsid w:val="67A7735B"/>
    <w:rsid w:val="67B11F87"/>
    <w:rsid w:val="67B57CC9"/>
    <w:rsid w:val="67D47E05"/>
    <w:rsid w:val="67EB7247"/>
    <w:rsid w:val="680622D3"/>
    <w:rsid w:val="6808604B"/>
    <w:rsid w:val="680B0448"/>
    <w:rsid w:val="680E73DA"/>
    <w:rsid w:val="6813679E"/>
    <w:rsid w:val="68142C42"/>
    <w:rsid w:val="68150768"/>
    <w:rsid w:val="682409AB"/>
    <w:rsid w:val="68367EE2"/>
    <w:rsid w:val="683C3591"/>
    <w:rsid w:val="683C5CF5"/>
    <w:rsid w:val="68476448"/>
    <w:rsid w:val="684E5A28"/>
    <w:rsid w:val="685E3EBD"/>
    <w:rsid w:val="686E1C26"/>
    <w:rsid w:val="688966F1"/>
    <w:rsid w:val="688A4CB2"/>
    <w:rsid w:val="688E4077"/>
    <w:rsid w:val="68995692"/>
    <w:rsid w:val="68A33FC6"/>
    <w:rsid w:val="68A5389A"/>
    <w:rsid w:val="68AB4C28"/>
    <w:rsid w:val="68AD274F"/>
    <w:rsid w:val="68B27D65"/>
    <w:rsid w:val="68C64A8F"/>
    <w:rsid w:val="68D66149"/>
    <w:rsid w:val="68E1064A"/>
    <w:rsid w:val="68E648F2"/>
    <w:rsid w:val="68EB08DD"/>
    <w:rsid w:val="68F55EA4"/>
    <w:rsid w:val="690507DD"/>
    <w:rsid w:val="690B2353"/>
    <w:rsid w:val="6922138F"/>
    <w:rsid w:val="692769A5"/>
    <w:rsid w:val="693370F8"/>
    <w:rsid w:val="69396F9A"/>
    <w:rsid w:val="6942153C"/>
    <w:rsid w:val="694330B3"/>
    <w:rsid w:val="69482477"/>
    <w:rsid w:val="694F1A58"/>
    <w:rsid w:val="69660A25"/>
    <w:rsid w:val="696F5C56"/>
    <w:rsid w:val="697B0A9F"/>
    <w:rsid w:val="69831701"/>
    <w:rsid w:val="699B2EEF"/>
    <w:rsid w:val="69A43B52"/>
    <w:rsid w:val="69AB37A6"/>
    <w:rsid w:val="69AC02F0"/>
    <w:rsid w:val="69AF0748"/>
    <w:rsid w:val="69BB533F"/>
    <w:rsid w:val="69BD2E65"/>
    <w:rsid w:val="69CD7CD3"/>
    <w:rsid w:val="69D41F5D"/>
    <w:rsid w:val="69D72179"/>
    <w:rsid w:val="69E462AD"/>
    <w:rsid w:val="69F562FC"/>
    <w:rsid w:val="6A042842"/>
    <w:rsid w:val="6A103C4F"/>
    <w:rsid w:val="6A2151A2"/>
    <w:rsid w:val="6A334ED5"/>
    <w:rsid w:val="6A356EA0"/>
    <w:rsid w:val="6A576E16"/>
    <w:rsid w:val="6A5F5CCB"/>
    <w:rsid w:val="6A6D70B4"/>
    <w:rsid w:val="6A70612A"/>
    <w:rsid w:val="6A883473"/>
    <w:rsid w:val="6A891B18"/>
    <w:rsid w:val="6A8A71EB"/>
    <w:rsid w:val="6A8E19C3"/>
    <w:rsid w:val="6AA33E09"/>
    <w:rsid w:val="6AA62616"/>
    <w:rsid w:val="6AA67D9D"/>
    <w:rsid w:val="6AA858C3"/>
    <w:rsid w:val="6AAB797E"/>
    <w:rsid w:val="6AB16F29"/>
    <w:rsid w:val="6AB778B5"/>
    <w:rsid w:val="6AB84B33"/>
    <w:rsid w:val="6AB87380"/>
    <w:rsid w:val="6ABF6769"/>
    <w:rsid w:val="6ACE2DB3"/>
    <w:rsid w:val="6ACF2E50"/>
    <w:rsid w:val="6AE0505D"/>
    <w:rsid w:val="6AE10DD5"/>
    <w:rsid w:val="6AEA4F0E"/>
    <w:rsid w:val="6AF74155"/>
    <w:rsid w:val="6AF87A75"/>
    <w:rsid w:val="6AFF300A"/>
    <w:rsid w:val="6B23319C"/>
    <w:rsid w:val="6B29503E"/>
    <w:rsid w:val="6B361121"/>
    <w:rsid w:val="6B472278"/>
    <w:rsid w:val="6B4C44A1"/>
    <w:rsid w:val="6B4D1FC7"/>
    <w:rsid w:val="6B4F2C4C"/>
    <w:rsid w:val="6B56531F"/>
    <w:rsid w:val="6B657A8E"/>
    <w:rsid w:val="6B67752D"/>
    <w:rsid w:val="6B706709"/>
    <w:rsid w:val="6B735ED1"/>
    <w:rsid w:val="6B7457A6"/>
    <w:rsid w:val="6B7D28AC"/>
    <w:rsid w:val="6BCE3108"/>
    <w:rsid w:val="6BD36970"/>
    <w:rsid w:val="6BD83F86"/>
    <w:rsid w:val="6BDD334B"/>
    <w:rsid w:val="6BDF5191"/>
    <w:rsid w:val="6BE96194"/>
    <w:rsid w:val="6BF012D0"/>
    <w:rsid w:val="6BF376DA"/>
    <w:rsid w:val="6BF61418"/>
    <w:rsid w:val="6BFB7C75"/>
    <w:rsid w:val="6C0703C8"/>
    <w:rsid w:val="6C111246"/>
    <w:rsid w:val="6C163E5C"/>
    <w:rsid w:val="6C276CBC"/>
    <w:rsid w:val="6C327B3B"/>
    <w:rsid w:val="6C343D69"/>
    <w:rsid w:val="6C3A254B"/>
    <w:rsid w:val="6C44786E"/>
    <w:rsid w:val="6C4E379B"/>
    <w:rsid w:val="6C4E4249"/>
    <w:rsid w:val="6C643A6C"/>
    <w:rsid w:val="6C6B0957"/>
    <w:rsid w:val="6C6B4DFB"/>
    <w:rsid w:val="6C7041BF"/>
    <w:rsid w:val="6C731F01"/>
    <w:rsid w:val="6C7F4402"/>
    <w:rsid w:val="6C856852"/>
    <w:rsid w:val="6C8E0AE9"/>
    <w:rsid w:val="6C8E5EB1"/>
    <w:rsid w:val="6C9F6852"/>
    <w:rsid w:val="6CA426C9"/>
    <w:rsid w:val="6CAB3449"/>
    <w:rsid w:val="6CAE6A95"/>
    <w:rsid w:val="6CBE13CE"/>
    <w:rsid w:val="6CC10EBE"/>
    <w:rsid w:val="6CCA7D73"/>
    <w:rsid w:val="6CDB5F08"/>
    <w:rsid w:val="6CDB740F"/>
    <w:rsid w:val="6CED562C"/>
    <w:rsid w:val="6CF021E2"/>
    <w:rsid w:val="6CF40B06"/>
    <w:rsid w:val="6CF50B68"/>
    <w:rsid w:val="6D0019E7"/>
    <w:rsid w:val="6D04229C"/>
    <w:rsid w:val="6D042B59"/>
    <w:rsid w:val="6D1504AB"/>
    <w:rsid w:val="6D21195D"/>
    <w:rsid w:val="6D2154B9"/>
    <w:rsid w:val="6D2356D5"/>
    <w:rsid w:val="6D3451EC"/>
    <w:rsid w:val="6D3708FB"/>
    <w:rsid w:val="6D390A55"/>
    <w:rsid w:val="6D3C22F3"/>
    <w:rsid w:val="6D400035"/>
    <w:rsid w:val="6D413DAD"/>
    <w:rsid w:val="6D4530D8"/>
    <w:rsid w:val="6D464F20"/>
    <w:rsid w:val="6D51777A"/>
    <w:rsid w:val="6D5E04BB"/>
    <w:rsid w:val="6D7221B9"/>
    <w:rsid w:val="6D7B2E1B"/>
    <w:rsid w:val="6D7C6B93"/>
    <w:rsid w:val="6D8343C6"/>
    <w:rsid w:val="6D8344B5"/>
    <w:rsid w:val="6D853C9A"/>
    <w:rsid w:val="6D9B0849"/>
    <w:rsid w:val="6D9C0FE4"/>
    <w:rsid w:val="6DA7727B"/>
    <w:rsid w:val="6DB22772"/>
    <w:rsid w:val="6DB602F7"/>
    <w:rsid w:val="6DFB5D0A"/>
    <w:rsid w:val="6DFD1A82"/>
    <w:rsid w:val="6E02353D"/>
    <w:rsid w:val="6E041063"/>
    <w:rsid w:val="6E193825"/>
    <w:rsid w:val="6E1F40EF"/>
    <w:rsid w:val="6E2214E9"/>
    <w:rsid w:val="6E241705"/>
    <w:rsid w:val="6E2F3C06"/>
    <w:rsid w:val="6E313E22"/>
    <w:rsid w:val="6E3B6A69"/>
    <w:rsid w:val="6E3D6E8A"/>
    <w:rsid w:val="6E4476B1"/>
    <w:rsid w:val="6E4A7710"/>
    <w:rsid w:val="6E506D2B"/>
    <w:rsid w:val="6E614B9C"/>
    <w:rsid w:val="6E7F06E9"/>
    <w:rsid w:val="6E84691C"/>
    <w:rsid w:val="6E943959"/>
    <w:rsid w:val="6EA12D56"/>
    <w:rsid w:val="6EA168B2"/>
    <w:rsid w:val="6EA42846"/>
    <w:rsid w:val="6EA97711"/>
    <w:rsid w:val="6EB77ED8"/>
    <w:rsid w:val="6EBE56B6"/>
    <w:rsid w:val="6EC627BC"/>
    <w:rsid w:val="6EC922AC"/>
    <w:rsid w:val="6ED10099"/>
    <w:rsid w:val="6ED30A35"/>
    <w:rsid w:val="6EE92957"/>
    <w:rsid w:val="6EF410D7"/>
    <w:rsid w:val="6EF966EE"/>
    <w:rsid w:val="6F0357BE"/>
    <w:rsid w:val="6F086931"/>
    <w:rsid w:val="6F152DFC"/>
    <w:rsid w:val="6F166D76"/>
    <w:rsid w:val="6F4639C5"/>
    <w:rsid w:val="6F487EDA"/>
    <w:rsid w:val="6F6A34ED"/>
    <w:rsid w:val="6F6F0244"/>
    <w:rsid w:val="6F7B35A7"/>
    <w:rsid w:val="6F7B5355"/>
    <w:rsid w:val="6FA04DBB"/>
    <w:rsid w:val="6FAA5C3A"/>
    <w:rsid w:val="6FD11419"/>
    <w:rsid w:val="6FD35191"/>
    <w:rsid w:val="6FD76303"/>
    <w:rsid w:val="6FE078AE"/>
    <w:rsid w:val="6FE86762"/>
    <w:rsid w:val="6FEA0E48"/>
    <w:rsid w:val="6FF15617"/>
    <w:rsid w:val="6FFB46E7"/>
    <w:rsid w:val="70003AAC"/>
    <w:rsid w:val="70027824"/>
    <w:rsid w:val="700F1F41"/>
    <w:rsid w:val="702C2AF3"/>
    <w:rsid w:val="703E40E6"/>
    <w:rsid w:val="704936A5"/>
    <w:rsid w:val="70545BA6"/>
    <w:rsid w:val="7056191E"/>
    <w:rsid w:val="70587444"/>
    <w:rsid w:val="70634011"/>
    <w:rsid w:val="706E6C67"/>
    <w:rsid w:val="707149AA"/>
    <w:rsid w:val="70763D6E"/>
    <w:rsid w:val="708B5A6B"/>
    <w:rsid w:val="708B7819"/>
    <w:rsid w:val="70981F36"/>
    <w:rsid w:val="70B52AE8"/>
    <w:rsid w:val="70BF3967"/>
    <w:rsid w:val="70C1323B"/>
    <w:rsid w:val="70CE5958"/>
    <w:rsid w:val="70D50A94"/>
    <w:rsid w:val="70F8227F"/>
    <w:rsid w:val="70FC4273"/>
    <w:rsid w:val="711041C2"/>
    <w:rsid w:val="716B31A7"/>
    <w:rsid w:val="71777D9E"/>
    <w:rsid w:val="717E737E"/>
    <w:rsid w:val="71872EA9"/>
    <w:rsid w:val="71931991"/>
    <w:rsid w:val="719E17CE"/>
    <w:rsid w:val="71A566B9"/>
    <w:rsid w:val="71B132B0"/>
    <w:rsid w:val="71B72890"/>
    <w:rsid w:val="71C72AD3"/>
    <w:rsid w:val="71CD3E62"/>
    <w:rsid w:val="71D451F0"/>
    <w:rsid w:val="71E31D57"/>
    <w:rsid w:val="71E36184"/>
    <w:rsid w:val="71F633B8"/>
    <w:rsid w:val="720930EC"/>
    <w:rsid w:val="72165809"/>
    <w:rsid w:val="7229553C"/>
    <w:rsid w:val="722F0678"/>
    <w:rsid w:val="72312642"/>
    <w:rsid w:val="723143F0"/>
    <w:rsid w:val="72331F17"/>
    <w:rsid w:val="72361A07"/>
    <w:rsid w:val="72395053"/>
    <w:rsid w:val="724C122A"/>
    <w:rsid w:val="725D3437"/>
    <w:rsid w:val="726C71D7"/>
    <w:rsid w:val="72730565"/>
    <w:rsid w:val="727B1B10"/>
    <w:rsid w:val="727C2435"/>
    <w:rsid w:val="728A44E9"/>
    <w:rsid w:val="728F1117"/>
    <w:rsid w:val="7294672D"/>
    <w:rsid w:val="72964253"/>
    <w:rsid w:val="729F75AC"/>
    <w:rsid w:val="72A46970"/>
    <w:rsid w:val="72A91F16"/>
    <w:rsid w:val="72A93F87"/>
    <w:rsid w:val="72AC7F1B"/>
    <w:rsid w:val="72B50B7E"/>
    <w:rsid w:val="72BB3CBA"/>
    <w:rsid w:val="72C15774"/>
    <w:rsid w:val="72CC4119"/>
    <w:rsid w:val="72D354A8"/>
    <w:rsid w:val="72F53670"/>
    <w:rsid w:val="72FD2525"/>
    <w:rsid w:val="72FF2EC1"/>
    <w:rsid w:val="73010267"/>
    <w:rsid w:val="73083D99"/>
    <w:rsid w:val="73125FD0"/>
    <w:rsid w:val="731358A4"/>
    <w:rsid w:val="731F249B"/>
    <w:rsid w:val="73223D39"/>
    <w:rsid w:val="732E26DE"/>
    <w:rsid w:val="733046A8"/>
    <w:rsid w:val="73335540"/>
    <w:rsid w:val="73351CBE"/>
    <w:rsid w:val="733F48EB"/>
    <w:rsid w:val="735465E8"/>
    <w:rsid w:val="7358775B"/>
    <w:rsid w:val="73683E42"/>
    <w:rsid w:val="73700F48"/>
    <w:rsid w:val="73740A39"/>
    <w:rsid w:val="7375030D"/>
    <w:rsid w:val="738F6955"/>
    <w:rsid w:val="739369E5"/>
    <w:rsid w:val="73A11102"/>
    <w:rsid w:val="73AD4CB4"/>
    <w:rsid w:val="73B452D9"/>
    <w:rsid w:val="73C03C7E"/>
    <w:rsid w:val="73C309FD"/>
    <w:rsid w:val="73C3551C"/>
    <w:rsid w:val="73C42244"/>
    <w:rsid w:val="73CD0149"/>
    <w:rsid w:val="73CF42D2"/>
    <w:rsid w:val="73D019E7"/>
    <w:rsid w:val="73DD70C9"/>
    <w:rsid w:val="73E159A2"/>
    <w:rsid w:val="73E3171A"/>
    <w:rsid w:val="73EC4A73"/>
    <w:rsid w:val="73ED2599"/>
    <w:rsid w:val="73F12089"/>
    <w:rsid w:val="73FE0302"/>
    <w:rsid w:val="7416564C"/>
    <w:rsid w:val="742E25B0"/>
    <w:rsid w:val="743D52CE"/>
    <w:rsid w:val="74485A21"/>
    <w:rsid w:val="744A79EB"/>
    <w:rsid w:val="745443C6"/>
    <w:rsid w:val="74546174"/>
    <w:rsid w:val="74597C2E"/>
    <w:rsid w:val="745D549E"/>
    <w:rsid w:val="745E6FF3"/>
    <w:rsid w:val="74687E72"/>
    <w:rsid w:val="747607E0"/>
    <w:rsid w:val="7478461E"/>
    <w:rsid w:val="748702F8"/>
    <w:rsid w:val="749A023E"/>
    <w:rsid w:val="749F7D37"/>
    <w:rsid w:val="74A569D0"/>
    <w:rsid w:val="74B15375"/>
    <w:rsid w:val="74B16EF5"/>
    <w:rsid w:val="74B51309"/>
    <w:rsid w:val="74B8014B"/>
    <w:rsid w:val="74BE7A92"/>
    <w:rsid w:val="74C257D4"/>
    <w:rsid w:val="74C50E20"/>
    <w:rsid w:val="74D06143"/>
    <w:rsid w:val="74D13C69"/>
    <w:rsid w:val="74D71FCA"/>
    <w:rsid w:val="74E4399C"/>
    <w:rsid w:val="74E514C2"/>
    <w:rsid w:val="74F02341"/>
    <w:rsid w:val="74F558C5"/>
    <w:rsid w:val="74FA31C0"/>
    <w:rsid w:val="750202C6"/>
    <w:rsid w:val="7510653F"/>
    <w:rsid w:val="751678CE"/>
    <w:rsid w:val="751A116C"/>
    <w:rsid w:val="75363ACC"/>
    <w:rsid w:val="75385A96"/>
    <w:rsid w:val="755328D0"/>
    <w:rsid w:val="75614FED"/>
    <w:rsid w:val="756B7C19"/>
    <w:rsid w:val="757A1C0A"/>
    <w:rsid w:val="757B4164"/>
    <w:rsid w:val="757C1E26"/>
    <w:rsid w:val="758550AF"/>
    <w:rsid w:val="75866801"/>
    <w:rsid w:val="758D193E"/>
    <w:rsid w:val="75930F1E"/>
    <w:rsid w:val="759579BF"/>
    <w:rsid w:val="759F3371"/>
    <w:rsid w:val="75A153E9"/>
    <w:rsid w:val="75A4312B"/>
    <w:rsid w:val="75B3511C"/>
    <w:rsid w:val="75B4336E"/>
    <w:rsid w:val="75D457BF"/>
    <w:rsid w:val="75D4756D"/>
    <w:rsid w:val="75EA4FE2"/>
    <w:rsid w:val="75F55735"/>
    <w:rsid w:val="75FA7695"/>
    <w:rsid w:val="76076315"/>
    <w:rsid w:val="761D53B8"/>
    <w:rsid w:val="762F50EB"/>
    <w:rsid w:val="76375D4D"/>
    <w:rsid w:val="76377AFB"/>
    <w:rsid w:val="76481D09"/>
    <w:rsid w:val="76522B87"/>
    <w:rsid w:val="76544B51"/>
    <w:rsid w:val="765C7562"/>
    <w:rsid w:val="766E5C13"/>
    <w:rsid w:val="766F7295"/>
    <w:rsid w:val="76746FA2"/>
    <w:rsid w:val="767825EE"/>
    <w:rsid w:val="767E397C"/>
    <w:rsid w:val="76873D69"/>
    <w:rsid w:val="76936097"/>
    <w:rsid w:val="769767EC"/>
    <w:rsid w:val="76AC673B"/>
    <w:rsid w:val="76B5566B"/>
    <w:rsid w:val="76B7252D"/>
    <w:rsid w:val="76D96E05"/>
    <w:rsid w:val="76DA32A9"/>
    <w:rsid w:val="76DD4B47"/>
    <w:rsid w:val="76E94FCC"/>
    <w:rsid w:val="77065E4C"/>
    <w:rsid w:val="77091498"/>
    <w:rsid w:val="77170059"/>
    <w:rsid w:val="771816DB"/>
    <w:rsid w:val="772269FE"/>
    <w:rsid w:val="772938E8"/>
    <w:rsid w:val="77387FCF"/>
    <w:rsid w:val="774921DC"/>
    <w:rsid w:val="77514BED"/>
    <w:rsid w:val="775A7F45"/>
    <w:rsid w:val="776112D4"/>
    <w:rsid w:val="776259EC"/>
    <w:rsid w:val="776D5ECB"/>
    <w:rsid w:val="77724C8B"/>
    <w:rsid w:val="7772528F"/>
    <w:rsid w:val="777C7EBC"/>
    <w:rsid w:val="778366F5"/>
    <w:rsid w:val="779276DF"/>
    <w:rsid w:val="77950F7E"/>
    <w:rsid w:val="77AA55FB"/>
    <w:rsid w:val="77BF5FFA"/>
    <w:rsid w:val="77EF68E0"/>
    <w:rsid w:val="77FE4D75"/>
    <w:rsid w:val="78016613"/>
    <w:rsid w:val="780954C8"/>
    <w:rsid w:val="78106856"/>
    <w:rsid w:val="781225CE"/>
    <w:rsid w:val="781B0F21"/>
    <w:rsid w:val="78216CB5"/>
    <w:rsid w:val="78250553"/>
    <w:rsid w:val="783E33C3"/>
    <w:rsid w:val="784D3606"/>
    <w:rsid w:val="786A065C"/>
    <w:rsid w:val="787D213D"/>
    <w:rsid w:val="7882338A"/>
    <w:rsid w:val="78A13CD3"/>
    <w:rsid w:val="78A91184"/>
    <w:rsid w:val="78BB0EB8"/>
    <w:rsid w:val="78C30B4D"/>
    <w:rsid w:val="78C7785D"/>
    <w:rsid w:val="78CA4C57"/>
    <w:rsid w:val="78DD498A"/>
    <w:rsid w:val="78E977D3"/>
    <w:rsid w:val="78F63C9E"/>
    <w:rsid w:val="78FC6FE9"/>
    <w:rsid w:val="78FF0DA4"/>
    <w:rsid w:val="79020895"/>
    <w:rsid w:val="792C5912"/>
    <w:rsid w:val="792D656A"/>
    <w:rsid w:val="79352A18"/>
    <w:rsid w:val="793A5F27"/>
    <w:rsid w:val="79425135"/>
    <w:rsid w:val="79492020"/>
    <w:rsid w:val="794C7D62"/>
    <w:rsid w:val="79500C68"/>
    <w:rsid w:val="79532E9E"/>
    <w:rsid w:val="795A422D"/>
    <w:rsid w:val="79667075"/>
    <w:rsid w:val="796C2DDF"/>
    <w:rsid w:val="79754A77"/>
    <w:rsid w:val="79764DDF"/>
    <w:rsid w:val="79A61220"/>
    <w:rsid w:val="79A656C4"/>
    <w:rsid w:val="79A67472"/>
    <w:rsid w:val="79AC0800"/>
    <w:rsid w:val="79AE6327"/>
    <w:rsid w:val="79B871A5"/>
    <w:rsid w:val="79C618C2"/>
    <w:rsid w:val="79CB0C87"/>
    <w:rsid w:val="79D02741"/>
    <w:rsid w:val="79D833A4"/>
    <w:rsid w:val="79DB7B85"/>
    <w:rsid w:val="79E24222"/>
    <w:rsid w:val="79F006ED"/>
    <w:rsid w:val="79FD5087"/>
    <w:rsid w:val="7A020420"/>
    <w:rsid w:val="7A0E5017"/>
    <w:rsid w:val="7A2111EE"/>
    <w:rsid w:val="7A293BFF"/>
    <w:rsid w:val="7A2D36EF"/>
    <w:rsid w:val="7A634C39"/>
    <w:rsid w:val="7A664E53"/>
    <w:rsid w:val="7A6916DA"/>
    <w:rsid w:val="7A6B246A"/>
    <w:rsid w:val="7A7632E8"/>
    <w:rsid w:val="7A805F15"/>
    <w:rsid w:val="7A8D0632"/>
    <w:rsid w:val="7A97325F"/>
    <w:rsid w:val="7A985ED8"/>
    <w:rsid w:val="7AAA2F92"/>
    <w:rsid w:val="7AAB2866"/>
    <w:rsid w:val="7AB27ADD"/>
    <w:rsid w:val="7AB7745D"/>
    <w:rsid w:val="7ABE07EB"/>
    <w:rsid w:val="7AC57DCC"/>
    <w:rsid w:val="7ACF0210"/>
    <w:rsid w:val="7ADB75EF"/>
    <w:rsid w:val="7AE5221C"/>
    <w:rsid w:val="7AEA5A84"/>
    <w:rsid w:val="7AEC5358"/>
    <w:rsid w:val="7AF10BC1"/>
    <w:rsid w:val="7AF661D7"/>
    <w:rsid w:val="7AFD7566"/>
    <w:rsid w:val="7B087CB8"/>
    <w:rsid w:val="7B0C1557"/>
    <w:rsid w:val="7B100C91"/>
    <w:rsid w:val="7B242D44"/>
    <w:rsid w:val="7B25086A"/>
    <w:rsid w:val="7B2965AD"/>
    <w:rsid w:val="7B2A7C2F"/>
    <w:rsid w:val="7B2D5DB9"/>
    <w:rsid w:val="7B3D3E06"/>
    <w:rsid w:val="7B42141C"/>
    <w:rsid w:val="7B467BCA"/>
    <w:rsid w:val="7B4927AB"/>
    <w:rsid w:val="7B4F5373"/>
    <w:rsid w:val="7B5B0730"/>
    <w:rsid w:val="7B6273C9"/>
    <w:rsid w:val="7B713AB0"/>
    <w:rsid w:val="7B783090"/>
    <w:rsid w:val="7B7A0BB6"/>
    <w:rsid w:val="7B95154C"/>
    <w:rsid w:val="7BA72557"/>
    <w:rsid w:val="7BA75723"/>
    <w:rsid w:val="7BB12A63"/>
    <w:rsid w:val="7BB37C24"/>
    <w:rsid w:val="7BC167E5"/>
    <w:rsid w:val="7BC31525"/>
    <w:rsid w:val="7BD81D81"/>
    <w:rsid w:val="7BEC1388"/>
    <w:rsid w:val="7BF00E78"/>
    <w:rsid w:val="7BFB4960"/>
    <w:rsid w:val="7C0846D4"/>
    <w:rsid w:val="7C1E59E5"/>
    <w:rsid w:val="7C2B0102"/>
    <w:rsid w:val="7C43327B"/>
    <w:rsid w:val="7C492337"/>
    <w:rsid w:val="7C4B2553"/>
    <w:rsid w:val="7C507B69"/>
    <w:rsid w:val="7C5331B5"/>
    <w:rsid w:val="7C63789C"/>
    <w:rsid w:val="7C6453C2"/>
    <w:rsid w:val="7C790E6E"/>
    <w:rsid w:val="7C7E6484"/>
    <w:rsid w:val="7C831CEC"/>
    <w:rsid w:val="7C855A65"/>
    <w:rsid w:val="7C991510"/>
    <w:rsid w:val="7C9B5288"/>
    <w:rsid w:val="7CA12E01"/>
    <w:rsid w:val="7CAD0B17"/>
    <w:rsid w:val="7CB00608"/>
    <w:rsid w:val="7CB71996"/>
    <w:rsid w:val="7CBE4AD3"/>
    <w:rsid w:val="7CC04CEF"/>
    <w:rsid w:val="7CC52305"/>
    <w:rsid w:val="7CC77E2B"/>
    <w:rsid w:val="7CC876FF"/>
    <w:rsid w:val="7CCA791B"/>
    <w:rsid w:val="7CE7227B"/>
    <w:rsid w:val="7CE81B50"/>
    <w:rsid w:val="7CF95B0B"/>
    <w:rsid w:val="7CFB1883"/>
    <w:rsid w:val="7D0C7F34"/>
    <w:rsid w:val="7D0F3580"/>
    <w:rsid w:val="7D1E1A15"/>
    <w:rsid w:val="7D225061"/>
    <w:rsid w:val="7D250FF6"/>
    <w:rsid w:val="7D292894"/>
    <w:rsid w:val="7D425704"/>
    <w:rsid w:val="7D4819DD"/>
    <w:rsid w:val="7D5B67C5"/>
    <w:rsid w:val="7D5D253D"/>
    <w:rsid w:val="7D5D42EC"/>
    <w:rsid w:val="7D676F18"/>
    <w:rsid w:val="7D6B05DB"/>
    <w:rsid w:val="7D6E474B"/>
    <w:rsid w:val="7D7D67EC"/>
    <w:rsid w:val="7D8C4BD1"/>
    <w:rsid w:val="7D951CD7"/>
    <w:rsid w:val="7D9D0B8C"/>
    <w:rsid w:val="7DA97531"/>
    <w:rsid w:val="7DB67EA0"/>
    <w:rsid w:val="7DBB2EB2"/>
    <w:rsid w:val="7DC73E5B"/>
    <w:rsid w:val="7DDB16B4"/>
    <w:rsid w:val="7DDB3462"/>
    <w:rsid w:val="7DE467BB"/>
    <w:rsid w:val="7DEB4F87"/>
    <w:rsid w:val="7DEE7639"/>
    <w:rsid w:val="7DF509C8"/>
    <w:rsid w:val="7DFD162B"/>
    <w:rsid w:val="7E10135E"/>
    <w:rsid w:val="7E123328"/>
    <w:rsid w:val="7E192908"/>
    <w:rsid w:val="7E1C41A7"/>
    <w:rsid w:val="7E260B81"/>
    <w:rsid w:val="7E2D1F10"/>
    <w:rsid w:val="7E344D4A"/>
    <w:rsid w:val="7E490D14"/>
    <w:rsid w:val="7E5356EF"/>
    <w:rsid w:val="7E584AB3"/>
    <w:rsid w:val="7E5A6A7D"/>
    <w:rsid w:val="7E745D91"/>
    <w:rsid w:val="7E7538B7"/>
    <w:rsid w:val="7E775881"/>
    <w:rsid w:val="7E7A0ECD"/>
    <w:rsid w:val="7E865AC4"/>
    <w:rsid w:val="7E8B6C36"/>
    <w:rsid w:val="7E924469"/>
    <w:rsid w:val="7E951707"/>
    <w:rsid w:val="7EA06B86"/>
    <w:rsid w:val="7EA85A3A"/>
    <w:rsid w:val="7EB328FE"/>
    <w:rsid w:val="7EBE700C"/>
    <w:rsid w:val="7EC87E8B"/>
    <w:rsid w:val="7ED22AB7"/>
    <w:rsid w:val="7EE36A72"/>
    <w:rsid w:val="7EF649F8"/>
    <w:rsid w:val="7EFD75C8"/>
    <w:rsid w:val="7F037115"/>
    <w:rsid w:val="7F08472B"/>
    <w:rsid w:val="7F0A04A3"/>
    <w:rsid w:val="7F121106"/>
    <w:rsid w:val="7F1C1F84"/>
    <w:rsid w:val="7F272E03"/>
    <w:rsid w:val="7F315A30"/>
    <w:rsid w:val="7F323556"/>
    <w:rsid w:val="7F460DAF"/>
    <w:rsid w:val="7F4A0FC0"/>
    <w:rsid w:val="7F4A4D43"/>
    <w:rsid w:val="7F4F5EB6"/>
    <w:rsid w:val="7F5C05D3"/>
    <w:rsid w:val="7F5E434B"/>
    <w:rsid w:val="7F606315"/>
    <w:rsid w:val="7F6E7734"/>
    <w:rsid w:val="7F737DF6"/>
    <w:rsid w:val="7F78540D"/>
    <w:rsid w:val="7F954211"/>
    <w:rsid w:val="7F9B734D"/>
    <w:rsid w:val="7FAB3A34"/>
    <w:rsid w:val="7FBB79EF"/>
    <w:rsid w:val="7FCF7300"/>
    <w:rsid w:val="7FD026CC"/>
    <w:rsid w:val="7FD4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jc w:val="both"/>
    </w:pPr>
    <w:rPr>
      <w:rFonts w:eastAsia="宋体"/>
      <w:color w:val="auto"/>
      <w:kern w:val="2"/>
      <w:sz w:val="21"/>
      <w:lang w:eastAsia="zh-CN" w:bidi="ar-SA"/>
    </w:rPr>
  </w:style>
  <w:style w:type="paragraph" w:styleId="8">
    <w:name w:val="Normal Indent"/>
    <w:basedOn w:val="1"/>
    <w:qFormat/>
    <w:uiPriority w:val="0"/>
    <w:pPr>
      <w:ind w:firstLine="420"/>
    </w:pPr>
    <w:rPr>
      <w:szCs w:val="20"/>
    </w:rPr>
  </w:style>
  <w:style w:type="paragraph" w:styleId="9">
    <w:name w:val="index 8"/>
    <w:basedOn w:val="1"/>
    <w:next w:val="1"/>
    <w:qFormat/>
    <w:uiPriority w:val="0"/>
    <w:pPr>
      <w:ind w:left="1400" w:leftChars="1400"/>
    </w:pPr>
  </w:style>
  <w:style w:type="paragraph" w:styleId="10">
    <w:name w:val="annotation text"/>
    <w:basedOn w:val="1"/>
    <w:unhideWhenUsed/>
    <w:qFormat/>
    <w:uiPriority w:val="0"/>
    <w:pPr>
      <w:jc w:val="left"/>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customStyle="1" w:styleId="12">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3">
    <w:name w:val="List 2"/>
    <w:basedOn w:val="1"/>
    <w:uiPriority w:val="0"/>
    <w:pPr>
      <w:ind w:left="100" w:leftChars="200" w:hanging="200" w:hangingChars="200"/>
    </w:pPr>
    <w:rPr>
      <w:sz w:val="28"/>
    </w:rPr>
  </w:style>
  <w:style w:type="paragraph" w:styleId="14">
    <w:name w:val="toc 3"/>
    <w:basedOn w:val="1"/>
    <w:next w:val="1"/>
    <w:qFormat/>
    <w:uiPriority w:val="0"/>
    <w:pPr>
      <w:ind w:left="840"/>
    </w:pPr>
  </w:style>
  <w:style w:type="paragraph" w:styleId="15">
    <w:name w:val="Plain Text"/>
    <w:basedOn w:val="1"/>
    <w:next w:val="1"/>
    <w:qFormat/>
    <w:uiPriority w:val="0"/>
    <w:rPr>
      <w:rFonts w:ascii="宋体" w:hAnsi="Courier New"/>
      <w:kern w:val="0"/>
      <w:sz w:val="20"/>
      <w:szCs w:val="21"/>
    </w:rPr>
  </w:style>
  <w:style w:type="paragraph" w:styleId="16">
    <w:name w:val="footer"/>
    <w:basedOn w:val="1"/>
    <w:next w:val="1"/>
    <w:unhideWhenUsed/>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pacing w:after="120"/>
      <w:ind w:left="420" w:leftChars="200"/>
    </w:pPr>
    <w:rPr>
      <w:kern w:val="0"/>
      <w:sz w:val="16"/>
      <w:szCs w:val="16"/>
    </w:rPr>
  </w:style>
  <w:style w:type="paragraph" w:styleId="21">
    <w:name w:val="toc 2"/>
    <w:basedOn w:val="1"/>
    <w:next w:val="1"/>
    <w:qFormat/>
    <w:uiPriority w:val="39"/>
    <w:pPr>
      <w:tabs>
        <w:tab w:val="right" w:leader="dot" w:pos="9476"/>
      </w:tabs>
      <w:spacing w:line="360" w:lineRule="auto"/>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Body Text First Indent"/>
    <w:basedOn w:val="2"/>
    <w:unhideWhenUsed/>
    <w:qFormat/>
    <w:uiPriority w:val="0"/>
    <w:pPr>
      <w:ind w:firstLine="420" w:firstLineChars="100"/>
    </w:pPr>
    <w:rPr>
      <w:rFonts w:ascii="Times New Roman" w:hAnsi="Times New Roman"/>
      <w:szCs w:val="24"/>
    </w:rPr>
  </w:style>
  <w:style w:type="paragraph" w:styleId="24">
    <w:name w:val="Body Text First Indent 2"/>
    <w:basedOn w:val="11"/>
    <w:next w:val="1"/>
    <w:unhideWhenUsed/>
    <w:qFormat/>
    <w:uiPriority w:val="99"/>
    <w:pPr>
      <w:tabs>
        <w:tab w:val="left" w:pos="0"/>
      </w:tabs>
      <w:spacing w:after="120"/>
      <w:ind w:left="420" w:leftChars="200" w:firstLine="420" w:firstLineChars="200"/>
    </w:pPr>
    <w:rPr>
      <w:spacing w:val="-4"/>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qFormat/>
    <w:uiPriority w:val="0"/>
  </w:style>
  <w:style w:type="character" w:styleId="30">
    <w:name w:val="Hyperlink"/>
    <w:qFormat/>
    <w:uiPriority w:val="0"/>
    <w:rPr>
      <w:color w:val="0000FF"/>
      <w:u w:val="single"/>
    </w:rPr>
  </w:style>
  <w:style w:type="character" w:styleId="31">
    <w:name w:val="annotation reference"/>
    <w:basedOn w:val="27"/>
    <w:qFormat/>
    <w:uiPriority w:val="0"/>
    <w:rPr>
      <w:sz w:val="21"/>
      <w:szCs w:val="21"/>
    </w:rPr>
  </w:style>
  <w:style w:type="character" w:styleId="32">
    <w:name w:val="HTML Sample"/>
    <w:qFormat/>
    <w:uiPriority w:val="0"/>
    <w:rPr>
      <w:rFonts w:ascii="Courier New" w:hAnsi="Courier New"/>
    </w:rPr>
  </w:style>
  <w:style w:type="paragraph" w:styleId="33">
    <w:name w:val="Intense Quote"/>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34">
    <w:name w:val="正文段"/>
    <w:basedOn w:val="1"/>
    <w:qFormat/>
    <w:uiPriority w:val="0"/>
    <w:pPr>
      <w:widowControl/>
      <w:snapToGrid w:val="0"/>
      <w:spacing w:after="50" w:afterLines="50"/>
      <w:ind w:firstLine="200" w:firstLineChars="200"/>
    </w:pPr>
    <w:rPr>
      <w:kern w:val="0"/>
      <w:sz w:val="24"/>
      <w:szCs w:val="20"/>
    </w:rPr>
  </w:style>
  <w:style w:type="paragraph" w:customStyle="1" w:styleId="35">
    <w:name w:val="Table Paragraph"/>
    <w:basedOn w:val="1"/>
    <w:qFormat/>
    <w:uiPriority w:val="0"/>
    <w:rPr>
      <w:rFonts w:ascii="宋体" w:hAnsi="宋体" w:eastAsia="宋体" w:cs="宋体"/>
      <w:lang w:val="zh-CN" w:eastAsia="zh-CN" w:bidi="zh-CN"/>
    </w:rPr>
  </w:style>
  <w:style w:type="paragraph" w:customStyle="1" w:styleId="36">
    <w:name w:val="正文2"/>
    <w:basedOn w:val="1"/>
    <w:qFormat/>
    <w:uiPriority w:val="0"/>
    <w:pPr>
      <w:adjustRightInd w:val="0"/>
      <w:spacing w:before="156" w:line="360" w:lineRule="auto"/>
      <w:ind w:firstLine="510" w:firstLineChars="200"/>
    </w:pPr>
    <w:rPr>
      <w:sz w:val="24"/>
      <w:szCs w:val="20"/>
    </w:rPr>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paragraph" w:customStyle="1" w:styleId="38">
    <w:name w:val="表格文字"/>
    <w:basedOn w:val="1"/>
    <w:qFormat/>
    <w:uiPriority w:val="99"/>
    <w:pPr>
      <w:jc w:val="left"/>
    </w:pPr>
    <w:rPr>
      <w:bCs/>
      <w:spacing w:val="10"/>
      <w:kern w:val="0"/>
      <w:sz w:val="24"/>
      <w:szCs w:val="20"/>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styleId="40">
    <w:name w:val="List Paragraph"/>
    <w:basedOn w:val="1"/>
    <w:qFormat/>
    <w:uiPriority w:val="34"/>
    <w:pPr>
      <w:ind w:firstLine="420" w:firstLineChars="200"/>
    </w:pPr>
  </w:style>
  <w:style w:type="paragraph" w:customStyle="1" w:styleId="41">
    <w:name w:val="列出段落2"/>
    <w:basedOn w:val="1"/>
    <w:qFormat/>
    <w:uiPriority w:val="99"/>
    <w:pPr>
      <w:ind w:firstLine="420" w:firstLineChars="200"/>
    </w:pPr>
    <w:rPr>
      <w:rFonts w:ascii="Times New Roman" w:hAnsi="Times New Roman"/>
      <w:sz w:val="24"/>
      <w:szCs w:val="24"/>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52897</Words>
  <Characters>57490</Characters>
  <Lines>0</Lines>
  <Paragraphs>0</Paragraphs>
  <TotalTime>7</TotalTime>
  <ScaleCrop>false</ScaleCrop>
  <LinksUpToDate>false</LinksUpToDate>
  <CharactersWithSpaces>61145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2023-05-19T00:42:00Z</dcterms:created>
  <dc:creator>Administrator</dc:creator>
  <cp:lastModifiedBy>NTKO</cp:lastModifiedBy>
  <dcterms:modified xsi:type="dcterms:W3CDTF">2023-06-08T03:30:49Z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B5A7540D1AF94543BA1DC42C4FB2B1A1_13</vt:lpwstr>
  </property>
</Properties>
</file>