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年度三江侗族自治县科技计划项目申报指南》政策解读</w:t>
      </w:r>
    </w:p>
    <w:p>
      <w:pPr>
        <w:spacing w:line="600" w:lineRule="exact"/>
        <w:ind w:firstLine="640" w:firstLineChars="200"/>
        <w:rPr>
          <w:rFonts w:ascii="仿宋_GB2312" w:hAnsi="仿宋" w:eastAsia="仿宋_GB231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75" w:lineRule="atLeast"/>
        <w:ind w:firstLine="600" w:firstLineChars="200"/>
        <w:textAlignment w:val="auto"/>
        <w:rPr>
          <w:rFonts w:ascii="微软雅黑" w:hAnsi="微软雅黑" w:eastAsia="微软雅黑"/>
          <w:color w:val="525353"/>
          <w:sz w:val="30"/>
          <w:szCs w:val="30"/>
        </w:rPr>
      </w:pPr>
      <w:r>
        <w:rPr>
          <w:rStyle w:val="9"/>
          <w:rFonts w:hint="eastAsia" w:ascii="微软雅黑" w:hAnsi="微软雅黑" w:eastAsia="微软雅黑"/>
          <w:color w:val="525353"/>
          <w:sz w:val="30"/>
          <w:szCs w:val="30"/>
        </w:rPr>
        <w:t>一、出台背景</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75" w:lineRule="atLeast"/>
        <w:ind w:firstLine="600" w:firstLineChars="200"/>
        <w:textAlignment w:val="auto"/>
        <w:rPr>
          <w:rFonts w:ascii="微软雅黑" w:hAnsi="微软雅黑" w:eastAsia="微软雅黑"/>
          <w:sz w:val="30"/>
          <w:szCs w:val="30"/>
        </w:rPr>
      </w:pPr>
      <w:r>
        <w:rPr>
          <w:rFonts w:hint="eastAsia" w:ascii="仿宋_GB2312" w:hAnsi="仿宋_GB2312" w:eastAsia="仿宋_GB2312" w:cs="仿宋_GB2312"/>
          <w:sz w:val="30"/>
          <w:szCs w:val="30"/>
        </w:rPr>
        <w:t>为深入实施创新驱动发展战略，提升科研机构和企业自主创新能力，加快提高我县自主创新能力，促进科技成果转化与产业化，充分发挥科技对经济社会发展的支撑引领作用，根据《广西壮族自治区国民经济和社会发展第十四个五年规划和2035年远景目标纲要》（桂政发〔2021〕11号）、《关于进一步深化科技体制改革推动科技创新促进广西高质量发展的若干措施》（厅发〔2020〕29号）精神，结合我县实际情况， 发布202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年度三江侗族自治县科技计划项目申报指南。</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75" w:lineRule="atLeast"/>
        <w:ind w:firstLine="600" w:firstLineChars="200"/>
        <w:textAlignment w:val="auto"/>
        <w:rPr>
          <w:rFonts w:ascii="微软雅黑" w:hAnsi="微软雅黑" w:eastAsia="微软雅黑"/>
          <w:b/>
          <w:sz w:val="30"/>
          <w:szCs w:val="30"/>
        </w:rPr>
      </w:pPr>
      <w:r>
        <w:rPr>
          <w:rFonts w:hint="eastAsia" w:ascii="微软雅黑" w:hAnsi="微软雅黑" w:eastAsia="微软雅黑"/>
          <w:b/>
          <w:sz w:val="30"/>
          <w:szCs w:val="30"/>
        </w:rPr>
        <w:t>二、政策依据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（一）自治区相关政策文件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shd w:val="clear" w:color="auto" w:fill="FFFFFF"/>
        </w:rPr>
        <w:t>1、《自治区党委办公厅 自治区人民政府办公厅关于印发&lt;科技强桂三年行动方案（2021-2023年）&gt;的通知》（桂办发〔2021〕14号）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shd w:val="clear" w:color="auto" w:fill="FFFFFF"/>
        </w:rPr>
        <w:t>2.《中共广西壮族自治区委员会关于实施乡村振兴战略的决定》（桂发〔2018〕7号）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3.《自治区党委办公厅 自治区人民政府办公厅印发〈关于进一步深化科技体制改革推动科技创新促进广西高质量发展的若干措施〉》（厅发〔2020〕29号）；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4.《广西科技强农八大工程实施方案》（桂政办发〔2020〕17号）；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（二）三江县相关政策文件</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333333"/>
          <w:kern w:val="0"/>
          <w:sz w:val="30"/>
          <w:szCs w:val="30"/>
          <w:lang w:val="en-US" w:eastAsia="zh-CN" w:bidi="ar-SA"/>
        </w:rPr>
      </w:pPr>
      <w:r>
        <w:rPr>
          <w:rFonts w:hint="eastAsia" w:ascii="仿宋_GB2312" w:hAnsi="仿宋_GB2312" w:eastAsia="仿宋_GB2312" w:cs="仿宋_GB2312"/>
          <w:color w:val="333333"/>
          <w:kern w:val="0"/>
          <w:sz w:val="30"/>
          <w:szCs w:val="30"/>
          <w:lang w:val="en-US" w:eastAsia="zh-CN" w:bidi="ar-SA"/>
        </w:rPr>
        <w:t>三江侗族自治县人民政府关于印发《三江侗族自治县应用技术研究与开发经费管理暂行办法》的通知（三政发〔2014〕28号）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75" w:lineRule="atLeast"/>
        <w:ind w:firstLine="600" w:firstLineChars="200"/>
        <w:textAlignment w:val="auto"/>
        <w:rPr>
          <w:rFonts w:ascii="微软雅黑" w:hAnsi="微软雅黑" w:eastAsia="微软雅黑"/>
          <w:b/>
          <w:sz w:val="30"/>
          <w:szCs w:val="30"/>
        </w:rPr>
      </w:pPr>
      <w:r>
        <w:rPr>
          <w:rFonts w:hint="eastAsia" w:ascii="微软雅黑" w:hAnsi="微软雅黑" w:eastAsia="微软雅黑"/>
          <w:b/>
          <w:sz w:val="30"/>
          <w:szCs w:val="30"/>
        </w:rPr>
        <w:t>三、主要支持方向</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75"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主要包括：</w:t>
      </w:r>
      <w:r>
        <w:rPr>
          <w:rFonts w:hint="eastAsia" w:ascii="仿宋_GB2312" w:hAnsi="仿宋_GB2312" w:eastAsia="仿宋_GB2312" w:cs="仿宋_GB2312"/>
          <w:b w:val="0"/>
          <w:bCs/>
          <w:sz w:val="30"/>
          <w:szCs w:val="30"/>
          <w:lang w:eastAsia="zh-CN"/>
        </w:rPr>
        <w:t>五</w:t>
      </w:r>
      <w:r>
        <w:rPr>
          <w:rFonts w:hint="eastAsia" w:ascii="仿宋_GB2312" w:hAnsi="仿宋_GB2312" w:eastAsia="仿宋_GB2312" w:cs="仿宋_GB2312"/>
          <w:b w:val="0"/>
          <w:bCs/>
          <w:sz w:val="30"/>
          <w:szCs w:val="30"/>
        </w:rPr>
        <w:t>大类，共1</w:t>
      </w:r>
      <w:r>
        <w:rPr>
          <w:rFonts w:hint="eastAsia" w:ascii="仿宋_GB2312" w:hAnsi="仿宋_GB2312" w:eastAsia="仿宋_GB2312" w:cs="仿宋_GB2312"/>
          <w:b w:val="0"/>
          <w:bCs/>
          <w:sz w:val="30"/>
          <w:szCs w:val="30"/>
          <w:lang w:val="en-US" w:eastAsia="zh-CN"/>
        </w:rPr>
        <w:t>6</w:t>
      </w:r>
      <w:r>
        <w:rPr>
          <w:rFonts w:hint="eastAsia" w:ascii="仿宋_GB2312" w:hAnsi="仿宋_GB2312" w:eastAsia="仿宋_GB2312" w:cs="仿宋_GB2312"/>
          <w:b w:val="0"/>
          <w:bCs/>
          <w:sz w:val="30"/>
          <w:szCs w:val="30"/>
        </w:rPr>
        <w:t>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（一）支持产、学、研技术创新体系建设，</w:t>
      </w:r>
      <w:r>
        <w:rPr>
          <w:rStyle w:val="9"/>
          <w:rFonts w:hint="eastAsia" w:ascii="楷体_GB2312" w:hAnsi="楷体_GB2312" w:eastAsia="楷体_GB2312" w:cs="楷体_GB2312"/>
          <w:b w:val="0"/>
          <w:bCs w:val="0"/>
          <w:color w:val="333333"/>
          <w:sz w:val="30"/>
          <w:szCs w:val="30"/>
          <w:shd w:val="clear" w:color="auto" w:fill="FFFFFF"/>
          <w:lang w:val="en-US" w:eastAsia="zh-CN"/>
        </w:rPr>
        <w:t>2</w:t>
      </w:r>
      <w:r>
        <w:rPr>
          <w:rStyle w:val="9"/>
          <w:rFonts w:hint="eastAsia" w:ascii="楷体_GB2312" w:hAnsi="楷体_GB2312" w:eastAsia="楷体_GB2312" w:cs="楷体_GB2312"/>
          <w:b w:val="0"/>
          <w:bCs w:val="0"/>
          <w:color w:val="333333"/>
          <w:sz w:val="30"/>
          <w:szCs w:val="30"/>
          <w:shd w:val="clear" w:color="auto" w:fill="FFFFFF"/>
        </w:rPr>
        <w:t>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（二）新产品、新技术、新工艺的开发、引进、示范及推广，5项；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（三）农业特色产业科技示范基地建设，1项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（四）社会发展科技项目，7项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textAlignment w:val="auto"/>
        <w:rPr>
          <w:rStyle w:val="9"/>
          <w:rFonts w:hint="eastAsia" w:ascii="楷体_GB2312" w:hAnsi="楷体_GB2312" w:eastAsia="楷体_GB2312" w:cs="楷体_GB2312"/>
          <w:b w:val="0"/>
          <w:bCs w:val="0"/>
          <w:color w:val="333333"/>
          <w:sz w:val="30"/>
          <w:szCs w:val="30"/>
          <w:shd w:val="clear" w:color="auto" w:fill="FFFFFF"/>
        </w:rPr>
      </w:pPr>
      <w:r>
        <w:rPr>
          <w:rStyle w:val="9"/>
          <w:rFonts w:hint="eastAsia" w:ascii="楷体_GB2312" w:hAnsi="楷体_GB2312" w:eastAsia="楷体_GB2312" w:cs="楷体_GB2312"/>
          <w:b w:val="0"/>
          <w:bCs w:val="0"/>
          <w:color w:val="333333"/>
          <w:sz w:val="30"/>
          <w:szCs w:val="30"/>
          <w:shd w:val="clear" w:color="auto" w:fill="FFFFFF"/>
        </w:rPr>
        <w:t>（五）配套国家、自治区、市科技计划重点项目，市级局县会商项目，1项；</w:t>
      </w:r>
    </w:p>
    <w:p>
      <w:pPr>
        <w:pStyle w:val="6"/>
        <w:shd w:val="clear" w:color="auto" w:fill="FFFFFF"/>
        <w:spacing w:before="450" w:beforeAutospacing="0" w:after="450" w:afterAutospacing="0" w:line="440" w:lineRule="exact"/>
        <w:ind w:left="5102" w:hanging="5102" w:hangingChars="1700"/>
        <w:rPr>
          <w:rFonts w:hint="eastAsia" w:ascii="仿宋_GB2312" w:hAnsi="仿宋_GB2312" w:eastAsia="仿宋_GB2312" w:cs="仿宋_GB2312"/>
          <w:b w:val="0"/>
          <w:bCs/>
          <w:sz w:val="30"/>
          <w:szCs w:val="30"/>
          <w:lang w:val="en-US" w:eastAsia="zh-CN"/>
        </w:rPr>
      </w:pPr>
      <w:r>
        <w:rPr>
          <w:rFonts w:hint="eastAsia" w:ascii="微软雅黑" w:hAnsi="微软雅黑" w:eastAsia="微软雅黑"/>
          <w:b/>
          <w:sz w:val="30"/>
          <w:szCs w:val="30"/>
        </w:rPr>
        <w:t xml:space="preserve">              </w:t>
      </w:r>
      <w:r>
        <w:rPr>
          <w:rFonts w:hint="eastAsia" w:ascii="微软雅黑" w:hAnsi="微软雅黑" w:eastAsia="微软雅黑"/>
          <w:b w:val="0"/>
          <w:bCs/>
          <w:sz w:val="30"/>
          <w:szCs w:val="30"/>
        </w:rPr>
        <w:t xml:space="preserve">     </w:t>
      </w:r>
      <w:r>
        <w:rPr>
          <w:rFonts w:hint="eastAsia" w:ascii="仿宋_GB2312" w:hAnsi="仿宋_GB2312" w:eastAsia="仿宋_GB2312" w:cs="仿宋_GB2312"/>
          <w:b w:val="0"/>
          <w:bCs/>
          <w:sz w:val="30"/>
          <w:szCs w:val="30"/>
        </w:rPr>
        <w:t xml:space="preserve">   三江侗族自治县科技工贸和信息化局                                     202</w:t>
      </w:r>
      <w:r>
        <w:rPr>
          <w:rFonts w:hint="eastAsia" w:ascii="仿宋_GB2312" w:hAnsi="仿宋_GB2312" w:eastAsia="仿宋_GB2312" w:cs="仿宋_GB2312"/>
          <w:b w:val="0"/>
          <w:bCs/>
          <w:sz w:val="30"/>
          <w:szCs w:val="30"/>
          <w:lang w:val="en-US" w:eastAsia="zh-CN"/>
        </w:rPr>
        <w:t>3</w:t>
      </w:r>
      <w:r>
        <w:rPr>
          <w:rFonts w:hint="eastAsia" w:ascii="仿宋_GB2312" w:hAnsi="仿宋_GB2312" w:eastAsia="仿宋_GB2312" w:cs="仿宋_GB2312"/>
          <w:b w:val="0"/>
          <w:bCs/>
          <w:sz w:val="30"/>
          <w:szCs w:val="30"/>
        </w:rPr>
        <w:t>年</w:t>
      </w:r>
      <w:r>
        <w:rPr>
          <w:rFonts w:hint="eastAsia" w:ascii="仿宋_GB2312" w:hAnsi="仿宋_GB2312" w:eastAsia="仿宋_GB2312" w:cs="仿宋_GB2312"/>
          <w:b w:val="0"/>
          <w:bCs/>
          <w:sz w:val="30"/>
          <w:szCs w:val="30"/>
          <w:lang w:val="en-US" w:eastAsia="zh-CN"/>
        </w:rPr>
        <w:t>9</w:t>
      </w:r>
      <w:r>
        <w:rPr>
          <w:rFonts w:hint="eastAsia" w:ascii="仿宋_GB2312" w:hAnsi="仿宋_GB2312" w:eastAsia="仿宋_GB2312" w:cs="仿宋_GB2312"/>
          <w:b w:val="0"/>
          <w:bCs/>
          <w:sz w:val="30"/>
          <w:szCs w:val="30"/>
        </w:rPr>
        <w:t>月</w:t>
      </w:r>
      <w:r>
        <w:rPr>
          <w:rFonts w:hint="eastAsia" w:ascii="仿宋_GB2312" w:hAnsi="仿宋_GB2312" w:eastAsia="仿宋_GB2312" w:cs="仿宋_GB2312"/>
          <w:b w:val="0"/>
          <w:bCs/>
          <w:sz w:val="30"/>
          <w:szCs w:val="30"/>
          <w:lang w:val="en-US" w:eastAsia="zh-CN"/>
        </w:rPr>
        <w:t>27日</w:t>
      </w:r>
      <w:bookmarkStart w:id="0" w:name="_GoBack"/>
      <w:bookmarkEnd w:id="0"/>
    </w:p>
    <w:p>
      <w:pPr>
        <w:pStyle w:val="6"/>
        <w:shd w:val="clear" w:color="auto" w:fill="FFFFFF"/>
        <w:spacing w:before="450" w:beforeAutospacing="0" w:after="450" w:afterAutospacing="0" w:line="375" w:lineRule="atLeast"/>
        <w:ind w:firstLine="600"/>
        <w:rPr>
          <w:rFonts w:hint="eastAsia" w:ascii="微软雅黑" w:hAnsi="微软雅黑" w:eastAsia="微软雅黑"/>
          <w:b/>
          <w:sz w:val="30"/>
          <w:szCs w:val="30"/>
          <w:lang w:val="en-US" w:eastAsia="zh-CN"/>
        </w:rPr>
      </w:pPr>
      <w:r>
        <w:rPr>
          <w:rFonts w:hint="eastAsia" w:ascii="微软雅黑" w:hAnsi="微软雅黑" w:eastAsia="微软雅黑"/>
          <w:b/>
          <w:sz w:val="30"/>
          <w:szCs w:val="30"/>
          <w:lang w:val="en-US" w:eastAsia="zh-CN"/>
        </w:rPr>
        <w:t xml:space="preserve"> </w:t>
      </w:r>
    </w:p>
    <w:p>
      <w:pPr>
        <w:rPr>
          <w:rFonts w:ascii="Helvetica" w:hAnsi="Helvetica"/>
          <w:color w:val="333333"/>
          <w:szCs w:val="21"/>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MzRmYWM5NWEzMThjZTgxMWRmZGZkOWE4MWFmN2QifQ=="/>
  </w:docVars>
  <w:rsids>
    <w:rsidRoot w:val="00A66C0D"/>
    <w:rsid w:val="0028146C"/>
    <w:rsid w:val="003249B6"/>
    <w:rsid w:val="004D4563"/>
    <w:rsid w:val="005C0E51"/>
    <w:rsid w:val="0061541E"/>
    <w:rsid w:val="006877AF"/>
    <w:rsid w:val="008D7F56"/>
    <w:rsid w:val="009D4AAB"/>
    <w:rsid w:val="00A66C0D"/>
    <w:rsid w:val="00C114E7"/>
    <w:rsid w:val="00C66427"/>
    <w:rsid w:val="00E22A23"/>
    <w:rsid w:val="00F930AE"/>
    <w:rsid w:val="00F97120"/>
    <w:rsid w:val="0C41252B"/>
    <w:rsid w:val="0CA7641E"/>
    <w:rsid w:val="0CBB4B8B"/>
    <w:rsid w:val="21AE4866"/>
    <w:rsid w:val="24D65DED"/>
    <w:rsid w:val="36E2569B"/>
    <w:rsid w:val="38982196"/>
    <w:rsid w:val="3BF37579"/>
    <w:rsid w:val="47567153"/>
    <w:rsid w:val="5389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640" w:firstLineChars="200"/>
    </w:pPr>
    <w:rPr>
      <w:rFonts w:ascii="仿宋_GB2312" w:eastAsia="仿宋_GB2312"/>
      <w:sz w:val="28"/>
      <w:szCs w:val="2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Emphasis"/>
    <w:basedOn w:val="8"/>
    <w:qFormat/>
    <w:uiPriority w:val="0"/>
    <w:rPr>
      <w:color w:val="CC0000"/>
    </w:rPr>
  </w:style>
  <w:style w:type="paragraph" w:customStyle="1" w:styleId="11">
    <w:name w:val="p0"/>
    <w:basedOn w:val="1"/>
    <w:qFormat/>
    <w:uiPriority w:val="0"/>
    <w:pPr>
      <w:widowControl/>
    </w:pPr>
    <w:rPr>
      <w:kern w:val="0"/>
      <w:szCs w:val="21"/>
    </w:rPr>
  </w:style>
  <w:style w:type="character" w:customStyle="1" w:styleId="12">
    <w:name w:val="标题 3 Char"/>
    <w:basedOn w:val="8"/>
    <w:link w:val="2"/>
    <w:qFormat/>
    <w:uiPriority w:val="9"/>
    <w:rPr>
      <w:rFonts w:ascii="宋体" w:hAnsi="宋体" w:eastAsia="宋体" w:cs="宋体"/>
      <w:b/>
      <w:bCs/>
      <w:kern w:val="0"/>
      <w:sz w:val="27"/>
      <w:szCs w:val="27"/>
    </w:rPr>
  </w:style>
  <w:style w:type="character" w:customStyle="1" w:styleId="13">
    <w:name w:val="页眉 Char"/>
    <w:basedOn w:val="8"/>
    <w:link w:val="5"/>
    <w:semiHidden/>
    <w:qFormat/>
    <w:uiPriority w:val="99"/>
    <w:rPr>
      <w:rFonts w:ascii="Times New Roman" w:hAnsi="Times New Roman" w:eastAsia="宋体" w:cs="Times New Roman"/>
      <w:sz w:val="18"/>
      <w:szCs w:val="18"/>
    </w:rPr>
  </w:style>
  <w:style w:type="character" w:customStyle="1" w:styleId="14">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670</Words>
  <Characters>722</Characters>
  <Lines>5</Lines>
  <Paragraphs>1</Paragraphs>
  <TotalTime>115</TotalTime>
  <ScaleCrop>false</ScaleCrop>
  <LinksUpToDate>false</LinksUpToDate>
  <CharactersWithSpaces>785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2021-11-09T08:21:00Z</dcterms:created>
  <dc:creator>Administrator</dc:creator>
  <cp:lastModifiedBy>Administrator</cp:lastModifiedBy>
  <cp:lastPrinted>2023-09-26T01:48:00Z</cp:lastPrinted>
  <dcterms:modified xsi:type="dcterms:W3CDTF">2023-10-07T07:55:09Z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496EB10BA08B490EB83CDDFF546368D1</vt:lpwstr>
  </property>
</Properties>
</file>