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15"/>
      <w:r>
        <w:rPr>
          <w:rFonts w:hint="eastAsia" w:ascii="方正小标宋_GBK" w:hAnsi="方正小标宋_GBK" w:eastAsia="方正小标宋_GBK"/>
          <w:b w:val="0"/>
          <w:bCs w:val="0"/>
          <w:sz w:val="30"/>
          <w:lang w:eastAsia="zh-CN"/>
        </w:rPr>
        <w:t>三江侗族自治县</w:t>
      </w:r>
      <w:bookmarkStart w:id="2" w:name="_GoBack"/>
      <w:bookmarkEnd w:id="2"/>
      <w:r>
        <w:rPr>
          <w:rFonts w:hint="eastAsia" w:ascii="方正小标宋_GBK" w:hAnsi="方正小标宋_GBK" w:eastAsia="方正小标宋_GBK"/>
          <w:b w:val="0"/>
          <w:bCs w:val="0"/>
          <w:sz w:val="30"/>
        </w:rPr>
        <w:t>农村集体土地征收基层政务公开标准目录</w:t>
      </w:r>
      <w:bookmarkEnd w:id="0"/>
    </w:p>
    <w:tbl>
      <w:tblPr>
        <w:tblStyle w:val="9"/>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14"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000000"/>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14" w:type="dxa"/>
            <w:vMerge w:val="continue"/>
            <w:vAlign w:val="center"/>
          </w:tcPr>
          <w:p>
            <w:pPr>
              <w:widowControl/>
              <w:jc w:val="left"/>
              <w:rPr>
                <w:rFonts w:ascii="黑体" w:hAnsi="宋体" w:eastAsia="黑体" w:cs="宋体"/>
                <w:color w:val="000000"/>
                <w:kern w:val="0"/>
                <w:sz w:val="22"/>
              </w:rPr>
            </w:pPr>
          </w:p>
        </w:tc>
        <w:tc>
          <w:tcPr>
            <w:tcW w:w="1260" w:type="dxa"/>
            <w:vMerge w:val="continue"/>
            <w:vAlign w:val="center"/>
          </w:tcPr>
          <w:p>
            <w:pPr>
              <w:widowControl/>
              <w:jc w:val="left"/>
              <w:rPr>
                <w:rFonts w:ascii="黑体" w:hAnsi="宋体" w:eastAsia="黑体" w:cs="宋体"/>
                <w:color w:val="000000"/>
                <w:kern w:val="0"/>
                <w:sz w:val="22"/>
              </w:rPr>
            </w:pPr>
          </w:p>
        </w:tc>
        <w:tc>
          <w:tcPr>
            <w:tcW w:w="1980"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color w:val="000000"/>
                <w:kern w:val="0"/>
                <w:sz w:val="22"/>
              </w:rPr>
            </w:pPr>
          </w:p>
        </w:tc>
        <w:tc>
          <w:tcPr>
            <w:tcW w:w="1786" w:type="dxa"/>
            <w:vMerge w:val="continue"/>
            <w:vAlign w:val="center"/>
          </w:tcPr>
          <w:p>
            <w:pPr>
              <w:widowControl/>
              <w:jc w:val="left"/>
              <w:rPr>
                <w:rFonts w:ascii="黑体" w:hAnsi="宋体" w:eastAsia="黑体" w:cs="宋体"/>
                <w:kern w:val="0"/>
                <w:sz w:val="22"/>
              </w:rPr>
            </w:pPr>
          </w:p>
        </w:tc>
        <w:tc>
          <w:tcPr>
            <w:tcW w:w="554"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5"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1</w:t>
            </w:r>
          </w:p>
        </w:tc>
        <w:tc>
          <w:tcPr>
            <w:tcW w:w="720" w:type="dxa"/>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征地管理政策</w:t>
            </w:r>
          </w:p>
        </w:tc>
        <w:tc>
          <w:tcPr>
            <w:tcW w:w="720" w:type="dxa"/>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2714"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征地补偿安置法律以及适用于本地区的政策、技术标准等规定要求。1.法律法规和规章；2.征地前期准备、征地审查报批、征地组织实施规范性文件；3.土地补偿费和安置补助费标准（征地区片综合地价或征地统一年产值标准）；4.地上附着物和青苗补偿费标准；〔*农村村民住宅拆迁补偿标准〕；〔*征地工作流程图〕。</w:t>
            </w:r>
          </w:p>
        </w:tc>
        <w:tc>
          <w:tcPr>
            <w:tcW w:w="1260" w:type="dxa"/>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980" w:type="dxa"/>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自该信息形成或者变更之日起20个工作日内予以公开，法律法规另有规定的除外。</w:t>
            </w:r>
          </w:p>
        </w:tc>
        <w:tc>
          <w:tcPr>
            <w:tcW w:w="1620" w:type="dxa"/>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三江县人民政府、三江县自然资源和规划局</w:t>
            </w:r>
          </w:p>
        </w:tc>
        <w:tc>
          <w:tcPr>
            <w:tcW w:w="1786" w:type="dxa"/>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spacing w:line="240" w:lineRule="exact"/>
              <w:rPr>
                <w:rFonts w:ascii="仿宋_GB2312" w:eastAsia="仿宋_GB2312"/>
                <w:color w:val="000000"/>
                <w:sz w:val="18"/>
                <w:szCs w:val="18"/>
              </w:rPr>
            </w:pPr>
          </w:p>
        </w:tc>
        <w:tc>
          <w:tcPr>
            <w:tcW w:w="554" w:type="dxa"/>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widowControl/>
              <w:spacing w:line="240" w:lineRule="exact"/>
              <w:jc w:val="center"/>
              <w:rPr>
                <w:rFonts w:ascii="仿宋_GB2312" w:eastAsia="仿宋_GB2312"/>
                <w:color w:val="000000"/>
                <w:sz w:val="18"/>
                <w:szCs w:val="18"/>
              </w:rPr>
            </w:pPr>
          </w:p>
        </w:tc>
        <w:tc>
          <w:tcPr>
            <w:tcW w:w="551" w:type="dxa"/>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240" w:lineRule="exact"/>
              <w:jc w:val="center"/>
              <w:rPr>
                <w:rFonts w:ascii="仿宋_GB2312" w:eastAsia="仿宋_GB2312"/>
                <w:color w:val="000000"/>
                <w:sz w:val="18"/>
                <w:szCs w:val="18"/>
              </w:rPr>
            </w:pPr>
          </w:p>
        </w:tc>
        <w:tc>
          <w:tcPr>
            <w:tcW w:w="720" w:type="dxa"/>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24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vMerge w:val="restart"/>
            <w:vAlign w:val="center"/>
          </w:tcPr>
          <w:p>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restart"/>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拟征收土地告知</w:t>
            </w:r>
          </w:p>
        </w:tc>
        <w:tc>
          <w:tcPr>
            <w:tcW w:w="2714" w:type="dxa"/>
            <w:vMerge w:val="restart"/>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980" w:type="dxa"/>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pPr>
              <w:spacing w:line="240" w:lineRule="exact"/>
              <w:rPr>
                <w:rFonts w:ascii="仿宋_GB2312" w:eastAsia="仿宋_GB2312"/>
                <w:color w:val="000000"/>
                <w:sz w:val="18"/>
                <w:szCs w:val="18"/>
              </w:rPr>
            </w:pPr>
          </w:p>
        </w:tc>
        <w:tc>
          <w:tcPr>
            <w:tcW w:w="1620" w:type="dxa"/>
            <w:vMerge w:val="restart"/>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三江县人民政府、三江县自然资源和规划局</w:t>
            </w:r>
          </w:p>
        </w:tc>
        <w:tc>
          <w:tcPr>
            <w:tcW w:w="1786" w:type="dxa"/>
            <w:vMerge w:val="restart"/>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spacing w:line="240" w:lineRule="exact"/>
              <w:rPr>
                <w:rFonts w:ascii="仿宋_GB2312" w:eastAsia="仿宋_GB2312"/>
                <w:color w:val="000000"/>
                <w:sz w:val="18"/>
                <w:szCs w:val="18"/>
              </w:rPr>
            </w:pPr>
          </w:p>
        </w:tc>
        <w:tc>
          <w:tcPr>
            <w:tcW w:w="554" w:type="dxa"/>
            <w:shd w:val="clear" w:color="auto" w:fill="auto"/>
            <w:vAlign w:val="center"/>
          </w:tcPr>
          <w:p>
            <w:pPr>
              <w:widowControl/>
              <w:spacing w:line="240" w:lineRule="exact"/>
              <w:jc w:val="center"/>
              <w:rPr>
                <w:rFonts w:ascii="仿宋_GB2312" w:eastAsia="仿宋_GB2312"/>
                <w:color w:val="000000"/>
                <w:sz w:val="18"/>
                <w:szCs w:val="18"/>
              </w:rPr>
            </w:pPr>
          </w:p>
        </w:tc>
        <w:tc>
          <w:tcPr>
            <w:tcW w:w="875"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spacing w:line="240" w:lineRule="exact"/>
              <w:jc w:val="center"/>
              <w:rPr>
                <w:rFonts w:ascii="仿宋_GB2312" w:eastAsia="仿宋_GB2312"/>
                <w:color w:val="000000"/>
                <w:sz w:val="18"/>
                <w:szCs w:val="18"/>
              </w:rPr>
            </w:pPr>
          </w:p>
        </w:tc>
        <w:tc>
          <w:tcPr>
            <w:tcW w:w="720" w:type="dxa"/>
            <w:vMerge w:val="restart"/>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spacing w:line="320" w:lineRule="exact"/>
              <w:jc w:val="center"/>
              <w:rPr>
                <w:rFonts w:ascii="仿宋_GB2312" w:eastAsia="仿宋_GB2312"/>
                <w:color w:val="000000"/>
                <w:sz w:val="18"/>
                <w:szCs w:val="18"/>
              </w:rPr>
            </w:pPr>
          </w:p>
        </w:tc>
        <w:tc>
          <w:tcPr>
            <w:tcW w:w="2714" w:type="dxa"/>
            <w:vMerge w:val="continue"/>
            <w:vAlign w:val="center"/>
          </w:tcPr>
          <w:p>
            <w:pPr>
              <w:widowControl/>
              <w:jc w:val="left"/>
              <w:rPr>
                <w:rFonts w:ascii="仿宋_GB2312" w:eastAsia="仿宋_GB2312"/>
                <w:color w:val="000000"/>
                <w:sz w:val="18"/>
                <w:szCs w:val="18"/>
              </w:rPr>
            </w:pPr>
          </w:p>
        </w:tc>
        <w:tc>
          <w:tcPr>
            <w:tcW w:w="1260" w:type="dxa"/>
            <w:vMerge w:val="continue"/>
            <w:vAlign w:val="center"/>
          </w:tcPr>
          <w:p>
            <w:pPr>
              <w:widowControl/>
              <w:rPr>
                <w:rFonts w:ascii="仿宋_GB2312" w:eastAsia="仿宋_GB2312"/>
                <w:color w:val="000000"/>
                <w:sz w:val="18"/>
                <w:szCs w:val="18"/>
              </w:rPr>
            </w:pPr>
          </w:p>
        </w:tc>
        <w:tc>
          <w:tcPr>
            <w:tcW w:w="1980" w:type="dxa"/>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vAlign w:val="center"/>
          </w:tcPr>
          <w:p>
            <w:pPr>
              <w:widowControl/>
              <w:rPr>
                <w:rFonts w:ascii="仿宋_GB2312" w:eastAsia="仿宋_GB2312"/>
                <w:color w:val="000000"/>
                <w:sz w:val="18"/>
                <w:szCs w:val="18"/>
              </w:rPr>
            </w:pPr>
          </w:p>
        </w:tc>
        <w:tc>
          <w:tcPr>
            <w:tcW w:w="1786" w:type="dxa"/>
            <w:vMerge w:val="continue"/>
            <w:vAlign w:val="center"/>
          </w:tcPr>
          <w:p>
            <w:pPr>
              <w:widowControl/>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jc w:val="center"/>
              <w:rPr>
                <w:rFonts w:ascii="仿宋_GB2312" w:eastAsia="仿宋_GB2312"/>
                <w:color w:val="000000"/>
                <w:sz w:val="18"/>
                <w:szCs w:val="18"/>
              </w:rPr>
            </w:pPr>
          </w:p>
        </w:tc>
        <w:tc>
          <w:tcPr>
            <w:tcW w:w="551" w:type="dxa"/>
            <w:vMerge w:val="continue"/>
            <w:shd w:val="clear" w:color="auto" w:fill="auto"/>
            <w:vAlign w:val="center"/>
          </w:tcPr>
          <w:p>
            <w:pPr>
              <w:widowControl/>
              <w:spacing w:line="240" w:lineRule="exact"/>
              <w:jc w:val="center"/>
              <w:rPr>
                <w:rFonts w:ascii="仿宋_GB2312" w:eastAsia="仿宋_GB2312"/>
                <w:color w:val="000000"/>
                <w:sz w:val="18"/>
                <w:szCs w:val="18"/>
              </w:rPr>
            </w:pPr>
          </w:p>
        </w:tc>
        <w:tc>
          <w:tcPr>
            <w:tcW w:w="720" w:type="dxa"/>
            <w:vMerge w:val="continue"/>
            <w:shd w:val="clear" w:color="auto" w:fill="auto"/>
            <w:vAlign w:val="center"/>
          </w:tcPr>
          <w:p>
            <w:pPr>
              <w:widowControl/>
              <w:spacing w:line="240" w:lineRule="exact"/>
              <w:jc w:val="center"/>
              <w:rPr>
                <w:rFonts w:ascii="仿宋_GB2312" w:eastAsia="仿宋_GB2312"/>
                <w:color w:val="000000"/>
                <w:sz w:val="18"/>
                <w:szCs w:val="18"/>
              </w:rPr>
            </w:pPr>
          </w:p>
        </w:tc>
        <w:tc>
          <w:tcPr>
            <w:tcW w:w="720" w:type="dxa"/>
            <w:vMerge w:val="continue"/>
            <w:shd w:val="clear" w:color="auto" w:fill="auto"/>
            <w:vAlign w:val="center"/>
          </w:tcPr>
          <w:p>
            <w:pPr>
              <w:widowControl/>
              <w:spacing w:line="240" w:lineRule="exact"/>
              <w:jc w:val="center"/>
              <w:rPr>
                <w:rFonts w:ascii="仿宋_GB2312" w:eastAsia="仿宋_GB2312"/>
                <w:color w:val="000000"/>
                <w:sz w:val="18"/>
                <w:szCs w:val="18"/>
              </w:rPr>
            </w:pPr>
          </w:p>
        </w:tc>
        <w:tc>
          <w:tcPr>
            <w:tcW w:w="720" w:type="dxa"/>
            <w:vMerge w:val="continue"/>
            <w:shd w:val="clear" w:color="auto" w:fill="auto"/>
            <w:vAlign w:val="center"/>
          </w:tcPr>
          <w:p>
            <w:pPr>
              <w:widowControl/>
              <w:spacing w:line="24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shd w:val="clear" w:color="auto" w:fill="auto"/>
            <w:vAlign w:val="center"/>
          </w:tcPr>
          <w:p>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拟征收土地现状调查</w:t>
            </w:r>
          </w:p>
        </w:tc>
        <w:tc>
          <w:tcPr>
            <w:tcW w:w="2714" w:type="dxa"/>
            <w:vMerge w:val="restart"/>
            <w:vAlign w:val="center"/>
          </w:tcPr>
          <w:p>
            <w:pPr>
              <w:spacing w:line="240" w:lineRule="exact"/>
              <w:rPr>
                <w:rFonts w:ascii="仿宋_GB2312" w:eastAsia="仿宋_GB2312"/>
                <w:color w:val="000000"/>
                <w:sz w:val="18"/>
                <w:szCs w:val="18"/>
              </w:rPr>
            </w:pPr>
            <w:r>
              <w:rPr>
                <w:rFonts w:hint="eastAsia" w:ascii="仿宋_GB2312" w:eastAsia="仿宋_GB2312"/>
                <w:color w:val="000000"/>
                <w:sz w:val="18"/>
                <w:szCs w:val="18"/>
              </w:rPr>
              <w:t>拟征收土地现状调查结果按规定确认后，调查结果予以公开。</w:t>
            </w:r>
          </w:p>
          <w:p>
            <w:pPr>
              <w:spacing w:line="240" w:lineRule="exact"/>
              <w:rPr>
                <w:rFonts w:ascii="仿宋_GB2312" w:eastAsia="仿宋_GB2312"/>
                <w:color w:val="000000"/>
                <w:sz w:val="18"/>
                <w:szCs w:val="18"/>
              </w:rPr>
            </w:pPr>
            <w:r>
              <w:rPr>
                <w:rFonts w:hint="eastAsia" w:ascii="仿宋_GB2312" w:eastAsia="仿宋_GB2312"/>
                <w:color w:val="000000"/>
                <w:sz w:val="18"/>
                <w:szCs w:val="18"/>
              </w:rPr>
              <w:t>1.征收土地勘测调查表；</w:t>
            </w:r>
          </w:p>
          <w:p>
            <w:pPr>
              <w:spacing w:line="240" w:lineRule="exact"/>
              <w:rPr>
                <w:rFonts w:ascii="仿宋_GB2312" w:eastAsia="仿宋_GB2312"/>
                <w:color w:val="000000"/>
                <w:sz w:val="18"/>
                <w:szCs w:val="18"/>
              </w:rPr>
            </w:pPr>
            <w:r>
              <w:rPr>
                <w:rFonts w:hint="eastAsia" w:ascii="仿宋_GB2312" w:eastAsia="仿宋_GB2312"/>
                <w:color w:val="000000"/>
                <w:sz w:val="18"/>
                <w:szCs w:val="18"/>
              </w:rPr>
              <w:t>2.地上附着物和青苗调查登记表；</w:t>
            </w:r>
          </w:p>
          <w:p>
            <w:pPr>
              <w:spacing w:line="240" w:lineRule="exact"/>
              <w:rPr>
                <w:rFonts w:ascii="仿宋_GB2312" w:eastAsia="仿宋_GB2312"/>
                <w:color w:val="000000"/>
                <w:sz w:val="18"/>
                <w:szCs w:val="18"/>
              </w:rPr>
            </w:pPr>
            <w:r>
              <w:rPr>
                <w:rFonts w:hint="eastAsia" w:ascii="仿宋_GB2312" w:eastAsia="仿宋_GB2312"/>
                <w:color w:val="000000"/>
                <w:sz w:val="18"/>
                <w:szCs w:val="18"/>
              </w:rPr>
              <w:t>〔*土地勘测定界图件（涉及国家秘密的项目除外；图件应按有关法律法规规定予以技术处理）〕。</w:t>
            </w:r>
          </w:p>
          <w:p>
            <w:pPr>
              <w:widowControl/>
              <w:rPr>
                <w:rFonts w:ascii="仿宋_GB2312" w:eastAsia="仿宋_GB2312"/>
                <w:color w:val="000000"/>
                <w:sz w:val="18"/>
                <w:szCs w:val="18"/>
              </w:rPr>
            </w:pPr>
          </w:p>
        </w:tc>
        <w:tc>
          <w:tcPr>
            <w:tcW w:w="1260"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rPr>
              <w:t>《土地管理法》、《国务院关于深化改革严格土地管理的决定》</w:t>
            </w:r>
          </w:p>
        </w:tc>
        <w:tc>
          <w:tcPr>
            <w:tcW w:w="1980" w:type="dxa"/>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拟征收土地现状调查结束后5个工作日内，在村公示栏公开。</w:t>
            </w:r>
          </w:p>
        </w:tc>
        <w:tc>
          <w:tcPr>
            <w:tcW w:w="1620" w:type="dxa"/>
            <w:vMerge w:val="restart"/>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三江县自然资源和规划局、三江县征迁中心</w:t>
            </w:r>
          </w:p>
        </w:tc>
        <w:tc>
          <w:tcPr>
            <w:tcW w:w="1786" w:type="dxa"/>
            <w:vMerge w:val="restart"/>
            <w:vAlign w:val="center"/>
          </w:tcPr>
          <w:p>
            <w:pPr>
              <w:widowControl/>
              <w:rPr>
                <w:rFonts w:ascii="仿宋_GB2312" w:eastAsia="仿宋_GB2312"/>
                <w:color w:val="000000"/>
                <w:sz w:val="18"/>
                <w:szCs w:val="18"/>
              </w:rPr>
            </w:pPr>
          </w:p>
          <w:p>
            <w:pPr>
              <w:widowControl/>
              <w:rPr>
                <w:rFonts w:ascii="仿宋_GB2312" w:eastAsia="仿宋_GB2312"/>
                <w:color w:val="000000"/>
                <w:sz w:val="18"/>
                <w:szCs w:val="18"/>
              </w:rPr>
            </w:pPr>
            <w:r>
              <w:rPr>
                <w:rFonts w:hint="eastAsia" w:ascii="仿宋_GB2312" w:eastAsia="仿宋_GB2312"/>
                <w:color w:val="000000"/>
                <w:sz w:val="18"/>
                <w:szCs w:val="18"/>
              </w:rPr>
              <w:t>▲政府网站</w:t>
            </w:r>
            <w:r>
              <w:rPr>
                <w:rFonts w:hint="eastAsia" w:ascii="仿宋_GB2312" w:eastAsia="仿宋_GB2312"/>
                <w:color w:val="000000"/>
                <w:sz w:val="18"/>
                <w:szCs w:val="18"/>
              </w:rPr>
              <w:br w:type="textWrapping"/>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jc w:val="center"/>
              <w:rPr>
                <w:rFonts w:ascii="仿宋_GB2312" w:eastAsia="仿宋_GB2312"/>
                <w:color w:val="000000"/>
                <w:sz w:val="18"/>
                <w:szCs w:val="18"/>
              </w:rPr>
            </w:pP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spacing w:line="320" w:lineRule="exact"/>
              <w:jc w:val="center"/>
              <w:rPr>
                <w:rFonts w:ascii="仿宋_GB2312" w:eastAsia="仿宋_GB2312"/>
                <w:color w:val="000000"/>
                <w:sz w:val="18"/>
                <w:szCs w:val="18"/>
              </w:rPr>
            </w:pPr>
          </w:p>
        </w:tc>
        <w:tc>
          <w:tcPr>
            <w:tcW w:w="2714" w:type="dxa"/>
            <w:vMerge w:val="continue"/>
            <w:vAlign w:val="center"/>
          </w:tcPr>
          <w:p>
            <w:pPr>
              <w:rPr>
                <w:rFonts w:ascii="仿宋_GB2312" w:eastAsia="仿宋_GB2312"/>
                <w:color w:val="000000"/>
                <w:sz w:val="18"/>
                <w:szCs w:val="18"/>
              </w:rPr>
            </w:pPr>
          </w:p>
        </w:tc>
        <w:tc>
          <w:tcPr>
            <w:tcW w:w="1260" w:type="dxa"/>
            <w:vMerge w:val="continue"/>
            <w:vAlign w:val="center"/>
          </w:tcPr>
          <w:p>
            <w:pPr>
              <w:widowControl/>
              <w:rPr>
                <w:rFonts w:ascii="仿宋_GB2312" w:eastAsia="仿宋_GB2312"/>
                <w:color w:val="000000"/>
                <w:sz w:val="18"/>
                <w:szCs w:val="18"/>
              </w:rPr>
            </w:pPr>
          </w:p>
        </w:tc>
        <w:tc>
          <w:tcPr>
            <w:tcW w:w="1980" w:type="dxa"/>
            <w:vAlign w:val="center"/>
          </w:tcPr>
          <w:p>
            <w:pPr>
              <w:spacing w:line="24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vAlign w:val="center"/>
          </w:tcPr>
          <w:p>
            <w:pPr>
              <w:widowControl/>
              <w:spacing w:line="320" w:lineRule="exact"/>
              <w:jc w:val="center"/>
              <w:rPr>
                <w:rFonts w:ascii="仿宋_GB2312" w:eastAsia="仿宋_GB2312"/>
                <w:color w:val="000000"/>
                <w:sz w:val="18"/>
                <w:szCs w:val="18"/>
              </w:rPr>
            </w:pPr>
          </w:p>
        </w:tc>
        <w:tc>
          <w:tcPr>
            <w:tcW w:w="1786" w:type="dxa"/>
            <w:vMerge w:val="continue"/>
            <w:vAlign w:val="center"/>
          </w:tcPr>
          <w:p>
            <w:pPr>
              <w:widowControl/>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jc w:val="center"/>
              <w:rPr>
                <w:rFonts w:ascii="仿宋_GB2312" w:eastAsia="仿宋_GB2312"/>
                <w:color w:val="000000"/>
                <w:sz w:val="18"/>
                <w:szCs w:val="18"/>
              </w:rPr>
            </w:pPr>
          </w:p>
        </w:tc>
        <w:tc>
          <w:tcPr>
            <w:tcW w:w="551"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拟征地听证</w:t>
            </w:r>
          </w:p>
        </w:tc>
        <w:tc>
          <w:tcPr>
            <w:tcW w:w="2714" w:type="dxa"/>
            <w:vMerge w:val="restart"/>
            <w:vAlign w:val="center"/>
          </w:tcPr>
          <w:p>
            <w:pPr>
              <w:rPr>
                <w:rFonts w:ascii="仿宋_GB2312" w:eastAsia="仿宋_GB2312"/>
                <w:color w:val="000000"/>
                <w:sz w:val="18"/>
                <w:szCs w:val="18"/>
              </w:rPr>
            </w:pPr>
            <w:r>
              <w:rPr>
                <w:rFonts w:hint="eastAsia" w:ascii="仿宋_GB2312" w:eastAsia="仿宋_GB2312"/>
                <w:color w:val="000000"/>
                <w:sz w:val="18"/>
                <w:szCs w:val="18"/>
              </w:rPr>
              <w:t>征地前期工作中依申请开展听证工作的，听证结果予以公开。按拟征收土地告知确定的时间制作《听证通知书》；按《听证通知书》规定的时间组织听证；实施听证的，公开听证相关材料。</w:t>
            </w:r>
          </w:p>
          <w:p>
            <w:pPr>
              <w:rPr>
                <w:rFonts w:ascii="仿宋_GB2312" w:eastAsia="仿宋_GB2312"/>
                <w:color w:val="000000"/>
                <w:sz w:val="18"/>
                <w:szCs w:val="18"/>
              </w:rPr>
            </w:pPr>
            <w:r>
              <w:rPr>
                <w:rFonts w:hint="eastAsia" w:ascii="仿宋_GB2312" w:eastAsia="仿宋_GB2312"/>
                <w:color w:val="000000"/>
                <w:sz w:val="18"/>
                <w:szCs w:val="18"/>
              </w:rPr>
              <w:t>1.《听证通知书》；</w:t>
            </w:r>
          </w:p>
          <w:p>
            <w:pPr>
              <w:rPr>
                <w:rFonts w:ascii="仿宋_GB2312" w:eastAsia="仿宋_GB2312"/>
                <w:color w:val="000000"/>
                <w:sz w:val="18"/>
                <w:szCs w:val="18"/>
              </w:rPr>
            </w:pPr>
            <w:r>
              <w:rPr>
                <w:rFonts w:hint="eastAsia" w:ascii="仿宋_GB2312" w:eastAsia="仿宋_GB2312"/>
                <w:color w:val="000000"/>
                <w:sz w:val="18"/>
                <w:szCs w:val="18"/>
              </w:rPr>
              <w:t>2.听证处理意见；</w:t>
            </w:r>
          </w:p>
          <w:p>
            <w:pPr>
              <w:rPr>
                <w:rFonts w:ascii="仿宋_GB2312" w:eastAsia="仿宋_GB2312"/>
                <w:color w:val="000000"/>
                <w:sz w:val="18"/>
                <w:szCs w:val="18"/>
              </w:rPr>
            </w:pPr>
            <w:r>
              <w:rPr>
                <w:rFonts w:hint="eastAsia" w:ascii="仿宋_GB2312" w:eastAsia="仿宋_GB2312"/>
                <w:color w:val="000000"/>
                <w:sz w:val="18"/>
                <w:szCs w:val="18"/>
              </w:rPr>
              <w:t>〔*听证笔录有关资料〕。</w:t>
            </w:r>
          </w:p>
        </w:tc>
        <w:tc>
          <w:tcPr>
            <w:tcW w:w="1260"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vAlign w:val="center"/>
          </w:tcPr>
          <w:p>
            <w:pPr>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①《听证通知书》应在组织听证7个工作日前予以公开；②其他听证公开内容在拟征地听证工作结束后5个工作日内在村公示栏公开。</w:t>
            </w:r>
          </w:p>
        </w:tc>
        <w:tc>
          <w:tcPr>
            <w:tcW w:w="1620"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rPr>
              <w:t>三江县自然资源和规划局</w:t>
            </w:r>
          </w:p>
        </w:tc>
        <w:tc>
          <w:tcPr>
            <w:tcW w:w="1786"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rPr>
                <w:rFonts w:ascii="仿宋_GB2312" w:eastAsia="仿宋_GB2312"/>
                <w:color w:val="000000"/>
                <w:sz w:val="18"/>
                <w:szCs w:val="18"/>
              </w:rPr>
            </w:pPr>
            <w:r>
              <w:rPr>
                <w:rFonts w:hint="eastAsia" w:ascii="仿宋_GB2312" w:eastAsia="仿宋_GB2312"/>
                <w:color w:val="000000"/>
                <w:sz w:val="18"/>
                <w:szCs w:val="18"/>
              </w:rPr>
              <w:br w:type="textWrapping"/>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jc w:val="center"/>
              <w:rPr>
                <w:rFonts w:ascii="仿宋_GB2312" w:eastAsia="仿宋_GB2312"/>
                <w:color w:val="000000"/>
                <w:sz w:val="18"/>
                <w:szCs w:val="18"/>
              </w:rPr>
            </w:pP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spacing w:line="320" w:lineRule="exact"/>
              <w:jc w:val="center"/>
              <w:rPr>
                <w:rFonts w:ascii="仿宋_GB2312" w:eastAsia="仿宋_GB2312"/>
                <w:color w:val="000000"/>
                <w:sz w:val="18"/>
                <w:szCs w:val="18"/>
              </w:rPr>
            </w:pPr>
          </w:p>
        </w:tc>
        <w:tc>
          <w:tcPr>
            <w:tcW w:w="2714" w:type="dxa"/>
            <w:vMerge w:val="continue"/>
            <w:vAlign w:val="center"/>
          </w:tcPr>
          <w:p>
            <w:pPr>
              <w:widowControl/>
              <w:rPr>
                <w:rFonts w:ascii="仿宋_GB2312" w:eastAsia="仿宋_GB2312"/>
                <w:color w:val="000000"/>
                <w:sz w:val="18"/>
                <w:szCs w:val="18"/>
              </w:rPr>
            </w:pPr>
          </w:p>
        </w:tc>
        <w:tc>
          <w:tcPr>
            <w:tcW w:w="1260" w:type="dxa"/>
            <w:vMerge w:val="continue"/>
            <w:vAlign w:val="center"/>
          </w:tcPr>
          <w:p>
            <w:pPr>
              <w:widowControl/>
              <w:rPr>
                <w:rFonts w:ascii="仿宋_GB2312" w:eastAsia="仿宋_GB2312"/>
                <w:color w:val="000000"/>
                <w:sz w:val="18"/>
                <w:szCs w:val="18"/>
              </w:rPr>
            </w:pPr>
          </w:p>
        </w:tc>
        <w:tc>
          <w:tcPr>
            <w:tcW w:w="1980" w:type="dxa"/>
            <w:vAlign w:val="center"/>
          </w:tcPr>
          <w:p>
            <w:pPr>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vAlign w:val="center"/>
          </w:tcPr>
          <w:p>
            <w:pPr>
              <w:widowControl/>
              <w:spacing w:line="320" w:lineRule="exact"/>
              <w:jc w:val="center"/>
              <w:rPr>
                <w:rFonts w:ascii="仿宋_GB2312" w:eastAsia="仿宋_GB2312"/>
                <w:color w:val="000000"/>
                <w:sz w:val="18"/>
                <w:szCs w:val="18"/>
              </w:rPr>
            </w:pPr>
          </w:p>
        </w:tc>
        <w:tc>
          <w:tcPr>
            <w:tcW w:w="1786" w:type="dxa"/>
            <w:vMerge w:val="continue"/>
            <w:vAlign w:val="center"/>
          </w:tcPr>
          <w:p>
            <w:pPr>
              <w:widowControl/>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jc w:val="center"/>
              <w:rPr>
                <w:rFonts w:ascii="仿宋_GB2312" w:eastAsia="仿宋_GB2312"/>
                <w:color w:val="000000"/>
                <w:sz w:val="18"/>
                <w:szCs w:val="18"/>
              </w:rPr>
            </w:pPr>
          </w:p>
        </w:tc>
        <w:tc>
          <w:tcPr>
            <w:tcW w:w="551"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ind w:firstLine="90" w:firstLineChars="50"/>
              <w:rPr>
                <w:rFonts w:ascii="仿宋_GB2312" w:eastAsia="仿宋_GB2312"/>
                <w:color w:val="000000"/>
                <w:sz w:val="18"/>
                <w:szCs w:val="18"/>
              </w:rPr>
            </w:pPr>
            <w:r>
              <w:rPr>
                <w:rFonts w:ascii="仿宋_GB2312" w:eastAsia="仿宋_GB2312"/>
                <w:color w:val="000000"/>
                <w:sz w:val="18"/>
                <w:szCs w:val="18"/>
              </w:rPr>
              <w:t>5</w:t>
            </w:r>
          </w:p>
        </w:tc>
        <w:tc>
          <w:tcPr>
            <w:tcW w:w="720" w:type="dxa"/>
            <w:vMerge w:val="restart"/>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征地审查报批</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征地报批材料</w:t>
            </w:r>
          </w:p>
        </w:tc>
        <w:tc>
          <w:tcPr>
            <w:tcW w:w="2714" w:type="dxa"/>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县（市、区）人民政府按照建设用地审查报批有关规定，组织用地报批过程中的相关报批材料予以公开。</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1.县（市、区）人民政府建设用地请示；</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2.县（市、区）自然资源主管部门建设用地审查意见；</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3.建设用地呈报说明书、农用地转用方案、补充耕地方案、征收土地方案、供地方案；</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〔*其他相关文字报批材料和图件由各省（区、市）确定公开方式〕。</w:t>
            </w:r>
          </w:p>
        </w:tc>
        <w:tc>
          <w:tcPr>
            <w:tcW w:w="126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《政府信息公开条例》、建设用地审查报批有关规定。</w:t>
            </w:r>
          </w:p>
        </w:tc>
        <w:tc>
          <w:tcPr>
            <w:tcW w:w="1980" w:type="dxa"/>
            <w:vAlign w:val="center"/>
          </w:tcPr>
          <w:p>
            <w:pPr>
              <w:widowControl/>
              <w:spacing w:beforeLines="50" w:afterLines="50"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w:t>
            </w:r>
            <w:r>
              <w:rPr>
                <w:rFonts w:ascii="仿宋_GB2312" w:eastAsia="仿宋_GB2312"/>
                <w:color w:val="000000"/>
                <w:sz w:val="18"/>
                <w:szCs w:val="18"/>
              </w:rPr>
              <w:t>个工作日</w:t>
            </w:r>
            <w:r>
              <w:rPr>
                <w:rFonts w:hint="eastAsia" w:ascii="仿宋_GB2312" w:eastAsia="仿宋_GB2312"/>
                <w:color w:val="000000"/>
                <w:sz w:val="18"/>
                <w:szCs w:val="18"/>
              </w:rPr>
              <w:t>内公开。</w:t>
            </w:r>
          </w:p>
        </w:tc>
        <w:tc>
          <w:tcPr>
            <w:tcW w:w="162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三江县自然资源和规划局</w:t>
            </w:r>
          </w:p>
        </w:tc>
        <w:tc>
          <w:tcPr>
            <w:tcW w:w="1786"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r>
              <w:rPr>
                <w:rFonts w:hint="eastAsia" w:ascii="仿宋_GB2312" w:eastAsia="仿宋_GB2312"/>
                <w:color w:val="000000"/>
                <w:sz w:val="18"/>
                <w:szCs w:val="18"/>
              </w:rPr>
              <w:t xml:space="preserve">  </w:t>
            </w:r>
          </w:p>
          <w:p>
            <w:pPr>
              <w:widowControl/>
              <w:spacing w:line="260" w:lineRule="exact"/>
              <w:rPr>
                <w:rFonts w:ascii="仿宋_GB2312" w:eastAsia="仿宋_GB2312"/>
                <w:color w:val="000000"/>
                <w:sz w:val="18"/>
                <w:szCs w:val="18"/>
              </w:rPr>
            </w:pPr>
          </w:p>
        </w:tc>
        <w:tc>
          <w:tcPr>
            <w:tcW w:w="554"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widowControl/>
              <w:spacing w:line="300" w:lineRule="exact"/>
              <w:jc w:val="center"/>
              <w:rPr>
                <w:rFonts w:ascii="仿宋_GB2312" w:eastAsia="仿宋_GB2312"/>
                <w:color w:val="000000"/>
                <w:sz w:val="18"/>
                <w:szCs w:val="18"/>
              </w:rPr>
            </w:pPr>
          </w:p>
        </w:tc>
        <w:tc>
          <w:tcPr>
            <w:tcW w:w="551"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6</w:t>
            </w:r>
          </w:p>
        </w:tc>
        <w:tc>
          <w:tcPr>
            <w:tcW w:w="720" w:type="dxa"/>
            <w:vMerge w:val="continue"/>
            <w:shd w:val="clear" w:color="auto" w:fill="auto"/>
            <w:vAlign w:val="center"/>
          </w:tcPr>
          <w:p>
            <w:pPr>
              <w:widowControl/>
              <w:spacing w:line="300" w:lineRule="exact"/>
              <w:jc w:val="center"/>
              <w:rPr>
                <w:rFonts w:ascii="仿宋_GB2312" w:eastAsia="仿宋_GB2312"/>
                <w:color w:val="000000"/>
                <w:sz w:val="18"/>
                <w:szCs w:val="18"/>
              </w:rPr>
            </w:pP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征地批准文件</w:t>
            </w:r>
          </w:p>
        </w:tc>
        <w:tc>
          <w:tcPr>
            <w:tcW w:w="2714" w:type="dxa"/>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有权一级人民政府批准用地的批复文件、地方人民政府转发批复文件应予以公开。 </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1.国务院批准用地批复文件（指用地由国务院批准）；</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2.省级人民政府批准用地批复文件（指用地由省级人民政府批准）；</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3.国务院批准城市用地后省级人民政府审核同意实施方案文件；</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4.地方人民政府转发用地批复文件；</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5.其他用地批准文件。</w:t>
            </w:r>
          </w:p>
        </w:tc>
        <w:tc>
          <w:tcPr>
            <w:tcW w:w="1260" w:type="dxa"/>
            <w:vAlign w:val="center"/>
          </w:tcPr>
          <w:p>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p>
            <w:pPr>
              <w:widowControl/>
              <w:spacing w:line="260" w:lineRule="exact"/>
              <w:jc w:val="left"/>
              <w:rPr>
                <w:rFonts w:ascii="仿宋_GB2312" w:eastAsia="仿宋_GB2312"/>
                <w:color w:val="000000"/>
                <w:sz w:val="18"/>
                <w:szCs w:val="18"/>
              </w:rPr>
            </w:pPr>
          </w:p>
        </w:tc>
        <w:tc>
          <w:tcPr>
            <w:tcW w:w="1980" w:type="dxa"/>
            <w:vAlign w:val="center"/>
          </w:tcPr>
          <w:p>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vAlign w:val="center"/>
          </w:tcPr>
          <w:p>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三江县自然资源和规划局</w:t>
            </w:r>
          </w:p>
        </w:tc>
        <w:tc>
          <w:tcPr>
            <w:tcW w:w="1786"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r>
              <w:rPr>
                <w:rFonts w:hint="eastAsia" w:ascii="仿宋_GB2312" w:eastAsia="仿宋_GB2312"/>
                <w:color w:val="000000"/>
                <w:sz w:val="18"/>
                <w:szCs w:val="18"/>
              </w:rPr>
              <w:t xml:space="preserve">   </w:t>
            </w:r>
          </w:p>
          <w:p>
            <w:pPr>
              <w:widowControl/>
              <w:spacing w:line="260" w:lineRule="exact"/>
              <w:rPr>
                <w:rFonts w:ascii="仿宋_GB2312" w:eastAsia="仿宋_GB2312"/>
                <w:color w:val="000000"/>
                <w:sz w:val="18"/>
                <w:szCs w:val="18"/>
              </w:rPr>
            </w:pPr>
          </w:p>
        </w:tc>
        <w:tc>
          <w:tcPr>
            <w:tcW w:w="554"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widowControl/>
              <w:spacing w:line="300" w:lineRule="exact"/>
              <w:jc w:val="center"/>
              <w:rPr>
                <w:rFonts w:ascii="仿宋_GB2312" w:eastAsia="仿宋_GB2312"/>
                <w:color w:val="000000"/>
                <w:sz w:val="18"/>
                <w:szCs w:val="18"/>
              </w:rPr>
            </w:pPr>
          </w:p>
        </w:tc>
        <w:tc>
          <w:tcPr>
            <w:tcW w:w="551"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7</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征收土地公告</w:t>
            </w:r>
          </w:p>
        </w:tc>
        <w:tc>
          <w:tcPr>
            <w:tcW w:w="2714" w:type="dxa"/>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根据用地批复文件，县（市、区）人民政府拟定征收土地公告并予以公开。</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1.征地批准机关、批准文号、批准时间和批准用途；</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2.被征收土地的所有权人、位置、地类、面积；</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3.征地补偿标准、农业人口安置方式、社会保障途径等；</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4.办理征地补偿登记的期限、地点和要求；</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5.救济途径。</w:t>
            </w:r>
          </w:p>
        </w:tc>
        <w:tc>
          <w:tcPr>
            <w:tcW w:w="126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《土地管理法》、《征收土地公告办法》</w:t>
            </w:r>
          </w:p>
        </w:tc>
        <w:tc>
          <w:tcPr>
            <w:tcW w:w="198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三江县人民政府</w:t>
            </w:r>
          </w:p>
        </w:tc>
        <w:tc>
          <w:tcPr>
            <w:tcW w:w="1786"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r>
              <w:rPr>
                <w:rFonts w:hint="eastAsia" w:ascii="仿宋_GB2312" w:eastAsia="仿宋_GB2312"/>
                <w:color w:val="000000"/>
                <w:sz w:val="18"/>
                <w:szCs w:val="18"/>
              </w:rPr>
              <w:t xml:space="preserve">   </w:t>
            </w:r>
          </w:p>
          <w:p>
            <w:pPr>
              <w:widowControl/>
              <w:spacing w:line="260" w:lineRule="exact"/>
              <w:rPr>
                <w:rFonts w:ascii="仿宋_GB2312" w:eastAsia="仿宋_GB2312"/>
                <w:color w:val="000000"/>
                <w:sz w:val="18"/>
                <w:szCs w:val="18"/>
              </w:rPr>
            </w:pPr>
          </w:p>
        </w:tc>
        <w:tc>
          <w:tcPr>
            <w:tcW w:w="554"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widowControl/>
              <w:spacing w:line="300" w:lineRule="exact"/>
              <w:jc w:val="center"/>
              <w:rPr>
                <w:rFonts w:ascii="仿宋_GB2312" w:eastAsia="仿宋_GB2312"/>
                <w:color w:val="000000"/>
                <w:sz w:val="18"/>
                <w:szCs w:val="18"/>
              </w:rPr>
            </w:pPr>
          </w:p>
        </w:tc>
        <w:tc>
          <w:tcPr>
            <w:tcW w:w="551"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8</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征地补偿登记</w:t>
            </w:r>
          </w:p>
        </w:tc>
        <w:tc>
          <w:tcPr>
            <w:tcW w:w="2714" w:type="dxa"/>
            <w:vAlign w:val="center"/>
          </w:tcPr>
          <w:p>
            <w:pPr>
              <w:rPr>
                <w:rFonts w:ascii="仿宋_GB2312" w:eastAsia="仿宋_GB2312"/>
                <w:color w:val="000000"/>
                <w:sz w:val="18"/>
                <w:szCs w:val="18"/>
              </w:rPr>
            </w:pPr>
            <w:r>
              <w:rPr>
                <w:rFonts w:hint="eastAsia" w:ascii="仿宋_GB2312" w:eastAsia="仿宋_GB2312"/>
                <w:color w:val="000000"/>
                <w:sz w:val="18"/>
                <w:szCs w:val="18"/>
              </w:rPr>
              <w:t>征地补偿登记汇总表。</w:t>
            </w:r>
          </w:p>
          <w:p>
            <w:pPr>
              <w:rPr>
                <w:rFonts w:ascii="仿宋_GB2312" w:eastAsia="仿宋_GB2312"/>
                <w:color w:val="000000"/>
                <w:sz w:val="18"/>
                <w:szCs w:val="18"/>
              </w:rPr>
            </w:pPr>
            <w:r>
              <w:rPr>
                <w:rFonts w:hint="eastAsia" w:ascii="仿宋_GB2312" w:eastAsia="仿宋_GB2312"/>
                <w:color w:val="000000"/>
                <w:sz w:val="18"/>
                <w:szCs w:val="18"/>
              </w:rPr>
              <w:t>〔*征地补偿登记前置与征收土地现状调查合并进行的，在前置环节一并公开〕。</w:t>
            </w:r>
          </w:p>
        </w:tc>
        <w:tc>
          <w:tcPr>
            <w:tcW w:w="126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tc>
        <w:tc>
          <w:tcPr>
            <w:tcW w:w="198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征地补偿登记结束后5个工作日内公开。公示结束后，转为依申请公开。</w:t>
            </w:r>
          </w:p>
        </w:tc>
        <w:tc>
          <w:tcPr>
            <w:tcW w:w="162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三江县人民政府</w:t>
            </w:r>
          </w:p>
        </w:tc>
        <w:tc>
          <w:tcPr>
            <w:tcW w:w="1786"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r>
              <w:rPr>
                <w:rFonts w:hint="eastAsia" w:ascii="仿宋_GB2312" w:eastAsia="仿宋_GB2312"/>
                <w:color w:val="000000"/>
                <w:sz w:val="18"/>
                <w:szCs w:val="18"/>
              </w:rPr>
              <w:t xml:space="preserve">   </w:t>
            </w:r>
          </w:p>
          <w:p>
            <w:pPr>
              <w:widowControl/>
              <w:spacing w:line="260" w:lineRule="exact"/>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9</w:t>
            </w: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征地补偿安置方案公告</w:t>
            </w:r>
          </w:p>
        </w:tc>
        <w:tc>
          <w:tcPr>
            <w:tcW w:w="2714" w:type="dxa"/>
            <w:vAlign w:val="center"/>
          </w:tcPr>
          <w:p>
            <w:pPr>
              <w:rPr>
                <w:rFonts w:ascii="仿宋_GB2312" w:eastAsia="仿宋_GB2312"/>
                <w:color w:val="000000"/>
                <w:sz w:val="18"/>
                <w:szCs w:val="18"/>
              </w:rPr>
            </w:pPr>
            <w:r>
              <w:rPr>
                <w:rFonts w:hint="eastAsia" w:ascii="仿宋_GB2312" w:eastAsia="仿宋_GB2312"/>
                <w:color w:val="000000"/>
                <w:sz w:val="18"/>
                <w:szCs w:val="18"/>
              </w:rPr>
              <w:t>征收土地公告期满后，县（市、区）自然资源主管部门和负责农村集体土地征收的有关部门拟定《征地补偿安置方案》并予以公开。</w:t>
            </w:r>
          </w:p>
          <w:p>
            <w:pPr>
              <w:rPr>
                <w:rFonts w:ascii="仿宋_GB2312" w:eastAsia="仿宋_GB2312"/>
                <w:color w:val="000000"/>
                <w:sz w:val="18"/>
                <w:szCs w:val="18"/>
              </w:rPr>
            </w:pPr>
            <w:r>
              <w:rPr>
                <w:rFonts w:hint="eastAsia" w:ascii="仿宋_GB2312" w:eastAsia="仿宋_GB2312"/>
                <w:color w:val="000000"/>
                <w:sz w:val="18"/>
                <w:szCs w:val="18"/>
              </w:rPr>
              <w:t>1.被征收土地的位置、地类、面积，地上附着物和青苗的种类、数量，需要安置的农业人口和数量；</w:t>
            </w:r>
            <w:r>
              <w:rPr>
                <w:rFonts w:ascii="仿宋_GB2312" w:eastAsia="仿宋_GB2312"/>
                <w:color w:val="000000"/>
                <w:sz w:val="18"/>
                <w:szCs w:val="18"/>
              </w:rPr>
              <w:t xml:space="preserve"> </w:t>
            </w:r>
          </w:p>
          <w:p>
            <w:pPr>
              <w:rPr>
                <w:rFonts w:ascii="仿宋_GB2312" w:eastAsia="仿宋_GB2312"/>
                <w:color w:val="000000"/>
                <w:sz w:val="18"/>
                <w:szCs w:val="18"/>
              </w:rPr>
            </w:pPr>
            <w:r>
              <w:rPr>
                <w:rFonts w:hint="eastAsia" w:ascii="仿宋_GB2312" w:eastAsia="仿宋_GB2312"/>
                <w:color w:val="000000"/>
                <w:sz w:val="18"/>
                <w:szCs w:val="18"/>
              </w:rPr>
              <w:t>2.土地补偿费和安置补助费的标准、数额、支付对象和支付方式；</w:t>
            </w:r>
          </w:p>
          <w:p>
            <w:pPr>
              <w:rPr>
                <w:rFonts w:ascii="仿宋_GB2312" w:eastAsia="仿宋_GB2312"/>
                <w:color w:val="000000"/>
                <w:sz w:val="18"/>
                <w:szCs w:val="18"/>
              </w:rPr>
            </w:pPr>
            <w:r>
              <w:rPr>
                <w:rFonts w:hint="eastAsia" w:ascii="仿宋_GB2312" w:eastAsia="仿宋_GB2312"/>
                <w:color w:val="000000"/>
                <w:sz w:val="18"/>
                <w:szCs w:val="18"/>
              </w:rPr>
              <w:t>3.地上附着物和青苗的补偿标准与支付方式；</w:t>
            </w:r>
          </w:p>
          <w:p>
            <w:pPr>
              <w:rPr>
                <w:rFonts w:ascii="仿宋_GB2312" w:eastAsia="仿宋_GB2312"/>
                <w:color w:val="000000"/>
                <w:sz w:val="18"/>
                <w:szCs w:val="18"/>
              </w:rPr>
            </w:pPr>
            <w:r>
              <w:rPr>
                <w:rFonts w:hint="eastAsia" w:ascii="仿宋_GB2312" w:eastAsia="仿宋_GB2312"/>
                <w:color w:val="000000"/>
                <w:sz w:val="18"/>
                <w:szCs w:val="18"/>
              </w:rPr>
              <w:t>4.社会保障费用的筹集方法、缴费比例和办法；</w:t>
            </w:r>
          </w:p>
          <w:p>
            <w:pPr>
              <w:rPr>
                <w:rFonts w:ascii="仿宋_GB2312" w:eastAsia="仿宋_GB2312"/>
                <w:color w:val="000000"/>
                <w:sz w:val="18"/>
                <w:szCs w:val="18"/>
              </w:rPr>
            </w:pPr>
            <w:r>
              <w:rPr>
                <w:rFonts w:hint="eastAsia" w:ascii="仿宋_GB2312" w:eastAsia="仿宋_GB2312"/>
                <w:color w:val="000000"/>
                <w:sz w:val="18"/>
                <w:szCs w:val="18"/>
              </w:rPr>
              <w:t>5.农业人员安置具体途径；</w:t>
            </w:r>
          </w:p>
          <w:p>
            <w:pPr>
              <w:rPr>
                <w:rFonts w:ascii="仿宋_GB2312" w:eastAsia="仿宋_GB2312"/>
                <w:color w:val="000000"/>
                <w:sz w:val="18"/>
                <w:szCs w:val="18"/>
              </w:rPr>
            </w:pPr>
            <w:r>
              <w:rPr>
                <w:rFonts w:hint="eastAsia" w:ascii="仿宋_GB2312" w:eastAsia="仿宋_GB2312"/>
                <w:color w:val="000000"/>
                <w:sz w:val="18"/>
                <w:szCs w:val="18"/>
              </w:rPr>
              <w:t>6.其他有关征地补偿、安置的具体措施；</w:t>
            </w:r>
          </w:p>
          <w:p>
            <w:pPr>
              <w:rPr>
                <w:rFonts w:ascii="仿宋_GB2312" w:eastAsia="仿宋_GB2312"/>
                <w:color w:val="000000"/>
                <w:sz w:val="18"/>
                <w:szCs w:val="18"/>
              </w:rPr>
            </w:pPr>
            <w:r>
              <w:rPr>
                <w:rFonts w:hint="eastAsia" w:ascii="仿宋_GB2312" w:eastAsia="仿宋_GB2312"/>
                <w:color w:val="000000"/>
                <w:sz w:val="18"/>
                <w:szCs w:val="18"/>
              </w:rPr>
              <w:t>7.听证等救济途径；</w:t>
            </w:r>
          </w:p>
          <w:p>
            <w:pPr>
              <w:rPr>
                <w:rFonts w:ascii="仿宋_GB2312" w:eastAsia="仿宋_GB2312"/>
                <w:color w:val="000000"/>
                <w:sz w:val="18"/>
                <w:szCs w:val="18"/>
              </w:rPr>
            </w:pPr>
            <w:r>
              <w:rPr>
                <w:rFonts w:hint="eastAsia" w:ascii="仿宋_GB2312" w:eastAsia="仿宋_GB2312"/>
                <w:color w:val="000000"/>
                <w:sz w:val="18"/>
                <w:szCs w:val="18"/>
              </w:rPr>
              <w:t>〔*征地补偿安置方案前置的，在前置环节一并公开〕。</w:t>
            </w:r>
          </w:p>
        </w:tc>
        <w:tc>
          <w:tcPr>
            <w:tcW w:w="126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《国土资源部办公厅关于进一步做好市县征地信息公开工作有关问题的通知》、《征收土地公告办法》。</w:t>
            </w:r>
          </w:p>
        </w:tc>
        <w:tc>
          <w:tcPr>
            <w:tcW w:w="1980" w:type="dxa"/>
            <w:vAlign w:val="center"/>
          </w:tcPr>
          <w:p>
            <w:pPr>
              <w:widowControl/>
              <w:spacing w:line="320" w:lineRule="exact"/>
              <w:ind w:firstLine="360" w:firstLineChars="200"/>
              <w:rPr>
                <w:rFonts w:ascii="仿宋_GB2312" w:eastAsia="仿宋_GB2312"/>
                <w:color w:val="000000"/>
                <w:sz w:val="18"/>
                <w:szCs w:val="18"/>
              </w:rPr>
            </w:pPr>
            <w:r>
              <w:rPr>
                <w:rFonts w:hint="eastAsia" w:ascii="仿宋_GB2312" w:eastAsia="仿宋_GB2312"/>
                <w:color w:val="000000"/>
                <w:sz w:val="18"/>
                <w:szCs w:val="18"/>
              </w:rPr>
              <w:t>拟定《征地补偿安置方案》后5个工作日内公开。</w:t>
            </w:r>
          </w:p>
          <w:p>
            <w:pPr>
              <w:widowControl/>
              <w:spacing w:line="320" w:lineRule="exact"/>
              <w:ind w:firstLine="360" w:firstLineChars="200"/>
              <w:rPr>
                <w:rFonts w:ascii="仿宋_GB2312" w:eastAsia="仿宋_GB2312"/>
                <w:color w:val="000000"/>
                <w:sz w:val="18"/>
                <w:szCs w:val="18"/>
              </w:rPr>
            </w:pPr>
            <w:r>
              <w:rPr>
                <w:rFonts w:hint="eastAsia" w:ascii="仿宋_GB2312" w:eastAsia="仿宋_GB2312"/>
                <w:color w:val="000000"/>
                <w:sz w:val="18"/>
                <w:szCs w:val="18"/>
              </w:rPr>
              <w:t>公示结束后，转为依申请公开。</w:t>
            </w:r>
          </w:p>
          <w:p>
            <w:pPr>
              <w:widowControl/>
              <w:spacing w:line="320" w:lineRule="exact"/>
              <w:rPr>
                <w:rFonts w:ascii="仿宋_GB2312" w:eastAsia="仿宋_GB2312"/>
                <w:color w:val="000000"/>
                <w:sz w:val="18"/>
                <w:szCs w:val="18"/>
              </w:rPr>
            </w:pPr>
          </w:p>
        </w:tc>
        <w:tc>
          <w:tcPr>
            <w:tcW w:w="162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三江县人民政府</w:t>
            </w:r>
          </w:p>
        </w:tc>
        <w:tc>
          <w:tcPr>
            <w:tcW w:w="1786"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▲政府网站</w:t>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10</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征地补偿安置方案听证</w:t>
            </w:r>
          </w:p>
        </w:tc>
        <w:tc>
          <w:tcPr>
            <w:tcW w:w="2714" w:type="dxa"/>
            <w:vAlign w:val="center"/>
          </w:tcPr>
          <w:p>
            <w:pPr>
              <w:rPr>
                <w:rFonts w:ascii="仿宋_GB2312" w:eastAsia="仿宋_GB2312"/>
                <w:color w:val="000000"/>
                <w:sz w:val="18"/>
                <w:szCs w:val="18"/>
              </w:rPr>
            </w:pPr>
            <w:r>
              <w:rPr>
                <w:rFonts w:hint="eastAsia" w:ascii="仿宋_GB2312" w:eastAsia="仿宋_GB2312"/>
                <w:color w:val="000000"/>
                <w:sz w:val="18"/>
                <w:szCs w:val="18"/>
              </w:rPr>
              <w:t>依申请开展听证工作的，听证结果公开。按征地补偿安置方案公告确定的时间制作《听证通知书》；按《听证通知书》规定的时间组织听证；实施听证的，公开听证相关材料。</w:t>
            </w:r>
          </w:p>
          <w:p>
            <w:pPr>
              <w:rPr>
                <w:rFonts w:ascii="仿宋_GB2312" w:eastAsia="仿宋_GB2312"/>
                <w:color w:val="000000"/>
                <w:sz w:val="18"/>
                <w:szCs w:val="18"/>
              </w:rPr>
            </w:pPr>
            <w:r>
              <w:rPr>
                <w:rFonts w:hint="eastAsia" w:ascii="仿宋_GB2312" w:eastAsia="仿宋_GB2312"/>
                <w:color w:val="000000"/>
                <w:sz w:val="18"/>
                <w:szCs w:val="18"/>
              </w:rPr>
              <w:t>1.《听证通知书》；</w:t>
            </w:r>
          </w:p>
          <w:p>
            <w:pPr>
              <w:rPr>
                <w:rFonts w:ascii="仿宋_GB2312" w:eastAsia="仿宋_GB2312"/>
                <w:color w:val="000000"/>
                <w:sz w:val="18"/>
                <w:szCs w:val="18"/>
              </w:rPr>
            </w:pPr>
            <w:r>
              <w:rPr>
                <w:rFonts w:hint="eastAsia" w:ascii="仿宋_GB2312" w:eastAsia="仿宋_GB2312"/>
                <w:color w:val="000000"/>
                <w:sz w:val="18"/>
                <w:szCs w:val="18"/>
              </w:rPr>
              <w:t>2.听证处理意见；〔*听证笔录有关资料〕。</w:t>
            </w:r>
          </w:p>
        </w:tc>
        <w:tc>
          <w:tcPr>
            <w:tcW w:w="1260"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①《听证通知书》应在组织听证7个工作日前予以公开；②其他听证公开内容在征地听证结束后5个工作日内公开。公示结束后，转为依申请公开。</w:t>
            </w:r>
          </w:p>
        </w:tc>
        <w:tc>
          <w:tcPr>
            <w:tcW w:w="1620"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三江县自然资源和规划局、三江县征迁中心</w:t>
            </w:r>
          </w:p>
        </w:tc>
        <w:tc>
          <w:tcPr>
            <w:tcW w:w="1786"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▲政府网站</w:t>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11</w:t>
            </w: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征地补偿费用支付</w:t>
            </w:r>
          </w:p>
        </w:tc>
        <w:tc>
          <w:tcPr>
            <w:tcW w:w="2714"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征地补偿费用支付凭证。</w:t>
            </w:r>
          </w:p>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〔在被征地村公告栏张贴，予以公开，张贴之日起20个工作日后可依申请公开〕。</w:t>
            </w:r>
          </w:p>
        </w:tc>
        <w:tc>
          <w:tcPr>
            <w:tcW w:w="126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《政府信息公开条例》、《征收土地公告办法》</w:t>
            </w:r>
          </w:p>
          <w:p>
            <w:pPr>
              <w:widowControl/>
              <w:spacing w:line="320" w:lineRule="exact"/>
              <w:rPr>
                <w:rFonts w:ascii="仿宋_GB2312" w:eastAsia="仿宋_GB2312"/>
                <w:color w:val="000000"/>
                <w:sz w:val="18"/>
                <w:szCs w:val="18"/>
              </w:rPr>
            </w:pPr>
          </w:p>
        </w:tc>
        <w:tc>
          <w:tcPr>
            <w:tcW w:w="198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获得支付凭证后5个工作日内予以公开。公示结束后，转为依申请公开。</w:t>
            </w:r>
          </w:p>
        </w:tc>
        <w:tc>
          <w:tcPr>
            <w:tcW w:w="162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三江县财政局</w:t>
            </w:r>
          </w:p>
        </w:tc>
        <w:tc>
          <w:tcPr>
            <w:tcW w:w="1786" w:type="dxa"/>
            <w:vAlign w:val="center"/>
          </w:tcPr>
          <w:p>
            <w:pPr>
              <w:widowControl/>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bl>
    <w:p>
      <w:pPr>
        <w:jc w:val="left"/>
        <w:rPr>
          <w:rFonts w:ascii="宋体" w:hAnsi="宋体"/>
          <w:sz w:val="18"/>
          <w:szCs w:val="18"/>
        </w:rPr>
      </w:pPr>
      <w:r>
        <w:rPr>
          <w:rFonts w:hint="eastAsia" w:ascii="宋体" w:hAnsi="宋体"/>
          <w:sz w:val="18"/>
          <w:szCs w:val="18"/>
        </w:rPr>
        <w:t>注：1.公开内容中标注为“*”标记的，为可选项，由各地根据实际情况确定。</w:t>
      </w:r>
    </w:p>
    <w:p>
      <w:pPr>
        <w:ind w:firstLine="360" w:firstLineChars="200"/>
        <w:jc w:val="left"/>
        <w:rPr>
          <w:rFonts w:ascii="宋体" w:hAnsi="宋体"/>
          <w:sz w:val="28"/>
          <w:szCs w:val="28"/>
        </w:rPr>
      </w:pPr>
      <w:r>
        <w:rPr>
          <w:rFonts w:hint="eastAsia" w:ascii="宋体" w:hAnsi="宋体"/>
          <w:sz w:val="18"/>
          <w:szCs w:val="18"/>
        </w:rPr>
        <w:t>2.公开渠道中标注为“■”标记的，为征地实施中的公开渠道；标注为“▲”标记的，为征地批准后的公开渠道。</w:t>
      </w:r>
    </w:p>
    <w:p>
      <w:pPr>
        <w:pStyle w:val="2"/>
        <w:jc w:val="center"/>
        <w:rPr>
          <w:rFonts w:ascii="方正小标宋_GBK" w:hAnsi="方正小标宋_GBK" w:eastAsia="方正小标宋_GBK"/>
          <w:b w:val="0"/>
          <w:bCs w:val="0"/>
          <w:sz w:val="30"/>
        </w:rPr>
      </w:pPr>
      <w:r>
        <w:br w:type="page"/>
      </w:r>
      <w:bookmarkStart w:id="1" w:name="_Toc24724718"/>
      <w:r>
        <w:rPr>
          <w:rFonts w:hint="eastAsia" w:ascii="方正小标宋_GBK" w:hAnsi="方正小标宋_GBK" w:eastAsia="方正小标宋_GBK"/>
          <w:b w:val="0"/>
          <w:bCs w:val="0"/>
          <w:sz w:val="30"/>
        </w:rPr>
        <w:t>（十五）国有土地上房屋征收与补偿领域基层政务公开标准目录</w:t>
      </w:r>
      <w:bookmarkEnd w:id="1"/>
    </w:p>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1800"/>
        <w:gridCol w:w="3240"/>
        <w:gridCol w:w="1260"/>
        <w:gridCol w:w="1440"/>
        <w:gridCol w:w="108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8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324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08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000000"/>
                <w:kern w:val="0"/>
                <w:sz w:val="22"/>
              </w:rPr>
            </w:pPr>
          </w:p>
        </w:tc>
        <w:tc>
          <w:tcPr>
            <w:tcW w:w="90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vAlign w:val="center"/>
          </w:tcPr>
          <w:p>
            <w:pPr>
              <w:widowControl/>
              <w:jc w:val="left"/>
              <w:rPr>
                <w:rFonts w:ascii="黑体" w:hAnsi="宋体" w:eastAsia="黑体" w:cs="宋体"/>
                <w:color w:val="000000"/>
                <w:kern w:val="0"/>
                <w:sz w:val="22"/>
              </w:rPr>
            </w:pPr>
          </w:p>
        </w:tc>
        <w:tc>
          <w:tcPr>
            <w:tcW w:w="3240" w:type="dxa"/>
            <w:vMerge w:val="continue"/>
            <w:vAlign w:val="center"/>
          </w:tcPr>
          <w:p>
            <w:pPr>
              <w:widowControl/>
              <w:jc w:val="left"/>
              <w:rPr>
                <w:rFonts w:ascii="黑体" w:hAnsi="宋体" w:eastAsia="黑体" w:cs="宋体"/>
                <w:color w:val="000000"/>
                <w:kern w:val="0"/>
                <w:sz w:val="22"/>
              </w:rPr>
            </w:pPr>
          </w:p>
        </w:tc>
        <w:tc>
          <w:tcPr>
            <w:tcW w:w="1260" w:type="dxa"/>
            <w:vMerge w:val="continue"/>
            <w:vAlign w:val="center"/>
          </w:tcPr>
          <w:p>
            <w:pPr>
              <w:widowControl/>
              <w:jc w:val="left"/>
              <w:rPr>
                <w:rFonts w:ascii="黑体" w:hAnsi="宋体" w:eastAsia="黑体" w:cs="宋体"/>
                <w:color w:val="000000"/>
                <w:kern w:val="0"/>
                <w:sz w:val="22"/>
              </w:rPr>
            </w:pPr>
          </w:p>
        </w:tc>
        <w:tc>
          <w:tcPr>
            <w:tcW w:w="1440" w:type="dxa"/>
            <w:vMerge w:val="continue"/>
            <w:vAlign w:val="center"/>
          </w:tcPr>
          <w:p>
            <w:pPr>
              <w:widowControl/>
              <w:jc w:val="left"/>
              <w:rPr>
                <w:rFonts w:ascii="黑体" w:hAnsi="宋体" w:eastAsia="黑体" w:cs="宋体"/>
                <w:color w:val="000000"/>
                <w:kern w:val="0"/>
                <w:sz w:val="22"/>
              </w:rPr>
            </w:pPr>
          </w:p>
        </w:tc>
        <w:tc>
          <w:tcPr>
            <w:tcW w:w="1080" w:type="dxa"/>
            <w:vMerge w:val="continue"/>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90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法规</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国家层面法规政策</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32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pPr>
              <w:rPr>
                <w:rFonts w:ascii="仿宋_GB2312" w:hAnsi="宋体" w:eastAsia="仿宋_GB2312"/>
                <w:color w:val="000000"/>
                <w:sz w:val="18"/>
                <w:szCs w:val="18"/>
              </w:rPr>
            </w:pPr>
            <w:r>
              <w:rPr>
                <w:rFonts w:hint="eastAsia" w:ascii="仿宋_GB2312" w:eastAsia="仿宋_GB2312"/>
                <w:color w:val="000000"/>
                <w:sz w:val="18"/>
                <w:szCs w:val="18"/>
              </w:rPr>
              <w:t>三江</w:t>
            </w:r>
            <w:r>
              <w:rPr>
                <w:rFonts w:hint="eastAsia" w:ascii="仿宋_GB2312" w:hAnsi="宋体" w:eastAsia="仿宋_GB2312"/>
                <w:color w:val="000000"/>
                <w:sz w:val="18"/>
                <w:szCs w:val="18"/>
              </w:rPr>
              <w:t>县人民政府</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地方层面法规政策</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地方性法规；地方政府规章；规范性文件。</w:t>
            </w:r>
          </w:p>
        </w:tc>
        <w:tc>
          <w:tcPr>
            <w:tcW w:w="32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pPr>
              <w:rPr>
                <w:rFonts w:ascii="仿宋_GB2312" w:hAnsi="宋体" w:eastAsia="仿宋_GB2312"/>
                <w:color w:val="000000"/>
                <w:sz w:val="18"/>
                <w:szCs w:val="18"/>
              </w:rPr>
            </w:pPr>
            <w:r>
              <w:rPr>
                <w:rFonts w:hint="eastAsia" w:ascii="仿宋_GB2312" w:eastAsia="仿宋_GB2312"/>
                <w:color w:val="000000"/>
                <w:sz w:val="18"/>
                <w:szCs w:val="18"/>
              </w:rPr>
              <w:t>三江</w:t>
            </w:r>
            <w:r>
              <w:rPr>
                <w:rFonts w:hint="eastAsia" w:ascii="仿宋_GB2312" w:hAnsi="宋体" w:eastAsia="仿宋_GB2312"/>
                <w:color w:val="000000"/>
                <w:sz w:val="18"/>
                <w:szCs w:val="18"/>
              </w:rPr>
              <w:t>县人民政府</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90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征收</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启动要件</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征收项目符合公共利益的相关材料。</w:t>
            </w:r>
          </w:p>
        </w:tc>
        <w:tc>
          <w:tcPr>
            <w:tcW w:w="32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w:t>
            </w: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自收到申请之日起20个工作日内公开</w:t>
            </w:r>
          </w:p>
        </w:tc>
        <w:tc>
          <w:tcPr>
            <w:tcW w:w="1440" w:type="dxa"/>
            <w:vAlign w:val="center"/>
          </w:tcPr>
          <w:p>
            <w:pPr>
              <w:rPr>
                <w:rFonts w:ascii="仿宋_GB2312" w:hAnsi="宋体" w:eastAsia="仿宋_GB2312"/>
                <w:color w:val="000000"/>
                <w:sz w:val="18"/>
                <w:szCs w:val="18"/>
              </w:rPr>
            </w:pPr>
            <w:r>
              <w:rPr>
                <w:rFonts w:hint="eastAsia" w:ascii="仿宋_GB2312" w:eastAsia="仿宋_GB2312"/>
                <w:color w:val="000000"/>
                <w:sz w:val="18"/>
                <w:szCs w:val="18"/>
              </w:rPr>
              <w:t>三江</w:t>
            </w:r>
            <w:r>
              <w:rPr>
                <w:rFonts w:hint="eastAsia" w:ascii="仿宋_GB2312" w:hAnsi="宋体" w:eastAsia="仿宋_GB2312"/>
                <w:color w:val="000000"/>
                <w:sz w:val="18"/>
                <w:szCs w:val="18"/>
              </w:rPr>
              <w:t>县人民政府</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■其他_</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社会稳定风险评估</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社会稳定风险评估结果。</w:t>
            </w:r>
          </w:p>
        </w:tc>
        <w:tc>
          <w:tcPr>
            <w:tcW w:w="32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w:t>
            </w: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自收到申请之日起20个工作日内公开</w:t>
            </w:r>
          </w:p>
        </w:tc>
        <w:tc>
          <w:tcPr>
            <w:tcW w:w="1440" w:type="dxa"/>
            <w:vAlign w:val="center"/>
          </w:tcPr>
          <w:p>
            <w:pPr>
              <w:rPr>
                <w:rFonts w:ascii="仿宋_GB2312" w:hAnsi="宋体" w:eastAsia="仿宋_GB2312"/>
                <w:color w:val="000000"/>
                <w:sz w:val="18"/>
                <w:szCs w:val="18"/>
              </w:rPr>
            </w:pPr>
            <w:r>
              <w:rPr>
                <w:rFonts w:hint="eastAsia" w:ascii="仿宋_GB2312" w:eastAsia="仿宋_GB2312"/>
                <w:color w:val="000000"/>
                <w:sz w:val="18"/>
                <w:szCs w:val="18"/>
              </w:rPr>
              <w:t>三江</w:t>
            </w:r>
            <w:r>
              <w:rPr>
                <w:rFonts w:hint="eastAsia" w:ascii="仿宋_GB2312" w:hAnsi="宋体" w:eastAsia="仿宋_GB2312"/>
                <w:color w:val="000000"/>
                <w:sz w:val="18"/>
                <w:szCs w:val="18"/>
              </w:rPr>
              <w:t>县人民政府</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■其他_</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90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征收</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房屋调查登记</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入户调查通知；调查结果；认定结果。</w:t>
            </w:r>
          </w:p>
        </w:tc>
        <w:tc>
          <w:tcPr>
            <w:tcW w:w="32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pPr>
              <w:rPr>
                <w:rFonts w:ascii="仿宋_GB2312" w:hAnsi="宋体" w:eastAsia="仿宋_GB2312"/>
                <w:color w:val="000000"/>
                <w:sz w:val="18"/>
                <w:szCs w:val="18"/>
              </w:rPr>
            </w:pPr>
            <w:r>
              <w:rPr>
                <w:rFonts w:hint="eastAsia" w:ascii="仿宋_GB2312" w:eastAsia="仿宋_GB2312"/>
                <w:color w:val="000000"/>
                <w:sz w:val="18"/>
                <w:szCs w:val="18"/>
              </w:rPr>
              <w:t>三江</w:t>
            </w:r>
            <w:r>
              <w:rPr>
                <w:rFonts w:hint="eastAsia" w:ascii="仿宋_GB2312" w:hAnsi="宋体" w:eastAsia="仿宋_GB2312"/>
                <w:color w:val="000000"/>
                <w:sz w:val="18"/>
                <w:szCs w:val="18"/>
              </w:rPr>
              <w:t>县人民政府、</w:t>
            </w:r>
            <w:r>
              <w:rPr>
                <w:rFonts w:hint="eastAsia" w:ascii="仿宋_GB2312" w:eastAsia="仿宋_GB2312"/>
                <w:color w:val="000000"/>
                <w:sz w:val="18"/>
                <w:szCs w:val="18"/>
              </w:rPr>
              <w:t>三江</w:t>
            </w:r>
            <w:r>
              <w:rPr>
                <w:rFonts w:hint="eastAsia" w:ascii="仿宋_GB2312" w:hAnsi="宋体" w:eastAsia="仿宋_GB2312"/>
                <w:color w:val="000000"/>
                <w:sz w:val="18"/>
                <w:szCs w:val="18"/>
              </w:rPr>
              <w:t>县征迁中心</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房屋征收补偿方案拟订</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论证结论;征求意见情况;根据公众意见修改情况。</w:t>
            </w:r>
          </w:p>
        </w:tc>
        <w:tc>
          <w:tcPr>
            <w:tcW w:w="32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信息形成或者变更之日起20个工作日内予以公开；征求意见期限不得少于30日</w:t>
            </w:r>
          </w:p>
        </w:tc>
        <w:tc>
          <w:tcPr>
            <w:tcW w:w="1440" w:type="dxa"/>
            <w:vAlign w:val="center"/>
          </w:tcPr>
          <w:p>
            <w:pPr>
              <w:rPr>
                <w:rFonts w:ascii="仿宋_GB2312" w:hAnsi="宋体" w:eastAsia="仿宋_GB2312"/>
                <w:color w:val="000000"/>
                <w:sz w:val="18"/>
                <w:szCs w:val="18"/>
              </w:rPr>
            </w:pPr>
            <w:r>
              <w:rPr>
                <w:rFonts w:hint="eastAsia" w:ascii="仿宋_GB2312" w:eastAsia="仿宋_GB2312"/>
                <w:color w:val="000000"/>
                <w:sz w:val="18"/>
                <w:szCs w:val="18"/>
              </w:rPr>
              <w:t>三江</w:t>
            </w:r>
            <w:r>
              <w:rPr>
                <w:rFonts w:hint="eastAsia" w:ascii="仿宋_GB2312" w:hAnsi="宋体" w:eastAsia="仿宋_GB2312"/>
                <w:color w:val="000000"/>
                <w:sz w:val="18"/>
                <w:szCs w:val="18"/>
              </w:rPr>
              <w:t>县人民政府</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■其他</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房屋征收决定</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房屋征收决定公告（包括补偿方案和行政复议、行政诉讼权利等事项）。</w:t>
            </w:r>
          </w:p>
        </w:tc>
        <w:tc>
          <w:tcPr>
            <w:tcW w:w="32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pPr>
              <w:rPr>
                <w:rFonts w:ascii="仿宋_GB2312" w:hAnsi="宋体" w:eastAsia="仿宋_GB2312"/>
                <w:color w:val="000000"/>
                <w:sz w:val="18"/>
                <w:szCs w:val="18"/>
              </w:rPr>
            </w:pPr>
            <w:r>
              <w:rPr>
                <w:rFonts w:hint="eastAsia" w:ascii="仿宋_GB2312" w:eastAsia="仿宋_GB2312"/>
                <w:color w:val="000000"/>
                <w:sz w:val="18"/>
                <w:szCs w:val="18"/>
              </w:rPr>
              <w:t>三江</w:t>
            </w:r>
            <w:r>
              <w:rPr>
                <w:rFonts w:hint="eastAsia" w:ascii="仿宋_GB2312" w:hAnsi="宋体" w:eastAsia="仿宋_GB2312"/>
                <w:color w:val="000000"/>
                <w:sz w:val="18"/>
                <w:szCs w:val="18"/>
              </w:rPr>
              <w:t>县人民政府</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90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评估</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房地产估价机构确定</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房地产估价机构选定或确定通知。</w:t>
            </w:r>
          </w:p>
        </w:tc>
        <w:tc>
          <w:tcPr>
            <w:tcW w:w="32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评估机构</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p>
            <w:pPr>
              <w:jc w:val="center"/>
              <w:rPr>
                <w:rFonts w:ascii="仿宋_GB2312" w:hAnsi="宋体" w:eastAsia="仿宋_GB2312"/>
                <w:color w:val="000000"/>
                <w:sz w:val="18"/>
                <w:szCs w:val="18"/>
              </w:rPr>
            </w:pP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被征收房屋评估</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分户的初步评估结果。</w:t>
            </w:r>
          </w:p>
        </w:tc>
        <w:tc>
          <w:tcPr>
            <w:tcW w:w="32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评估机构</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Merge w:val="continue"/>
            <w:shd w:val="clear" w:color="auto" w:fill="auto"/>
            <w:vAlign w:val="center"/>
          </w:tcPr>
          <w:p>
            <w:pPr>
              <w:jc w:val="center"/>
              <w:rPr>
                <w:rFonts w:ascii="仿宋_GB2312" w:hAnsi="宋体" w:eastAsia="仿宋_GB2312"/>
                <w:color w:val="000000"/>
                <w:sz w:val="18"/>
                <w:szCs w:val="18"/>
              </w:rPr>
            </w:pP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补偿</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分户补偿情况</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分户补偿结果。</w:t>
            </w:r>
          </w:p>
        </w:tc>
        <w:tc>
          <w:tcPr>
            <w:tcW w:w="32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pPr>
              <w:rPr>
                <w:rFonts w:ascii="仿宋_GB2312" w:hAnsi="宋体" w:eastAsia="仿宋_GB2312"/>
                <w:color w:val="000000"/>
                <w:sz w:val="18"/>
                <w:szCs w:val="18"/>
              </w:rPr>
            </w:pPr>
            <w:r>
              <w:rPr>
                <w:rFonts w:hint="eastAsia" w:ascii="仿宋_GB2312" w:eastAsia="仿宋_GB2312"/>
                <w:color w:val="000000"/>
                <w:sz w:val="18"/>
                <w:szCs w:val="18"/>
              </w:rPr>
              <w:t>三江</w:t>
            </w:r>
            <w:r>
              <w:rPr>
                <w:rFonts w:hint="eastAsia" w:ascii="仿宋_GB2312" w:hAnsi="宋体" w:eastAsia="仿宋_GB2312"/>
                <w:color w:val="000000"/>
                <w:sz w:val="18"/>
                <w:szCs w:val="18"/>
              </w:rPr>
              <w:t>县征迁中心</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90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补偿</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产权调换房屋</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房源信息；选房办法；选房结果。</w:t>
            </w:r>
          </w:p>
        </w:tc>
        <w:tc>
          <w:tcPr>
            <w:tcW w:w="32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pPr>
              <w:rPr>
                <w:rFonts w:ascii="仿宋_GB2312" w:hAnsi="宋体" w:eastAsia="仿宋_GB2312"/>
                <w:color w:val="000000"/>
                <w:sz w:val="18"/>
                <w:szCs w:val="18"/>
              </w:rPr>
            </w:pPr>
            <w:r>
              <w:rPr>
                <w:rFonts w:hint="eastAsia" w:ascii="仿宋_GB2312" w:eastAsia="仿宋_GB2312"/>
                <w:color w:val="000000"/>
                <w:sz w:val="18"/>
                <w:szCs w:val="18"/>
              </w:rPr>
              <w:t>三江</w:t>
            </w:r>
            <w:r>
              <w:rPr>
                <w:rFonts w:hint="eastAsia" w:ascii="仿宋_GB2312" w:hAnsi="宋体" w:eastAsia="仿宋_GB2312"/>
                <w:color w:val="000000"/>
                <w:sz w:val="18"/>
                <w:szCs w:val="18"/>
              </w:rPr>
              <w:t>县征迁中心</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房屋征收补偿决定</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房屋征收补偿决定公告。</w:t>
            </w:r>
          </w:p>
        </w:tc>
        <w:tc>
          <w:tcPr>
            <w:tcW w:w="32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pPr>
              <w:rPr>
                <w:rFonts w:ascii="仿宋_GB2312" w:hAnsi="宋体" w:eastAsia="仿宋_GB2312"/>
                <w:color w:val="000000"/>
                <w:sz w:val="18"/>
                <w:szCs w:val="18"/>
              </w:rPr>
            </w:pPr>
            <w:r>
              <w:rPr>
                <w:rFonts w:hint="eastAsia" w:ascii="仿宋_GB2312" w:eastAsia="仿宋_GB2312"/>
                <w:color w:val="000000"/>
                <w:sz w:val="18"/>
                <w:szCs w:val="18"/>
              </w:rPr>
              <w:t>三江</w:t>
            </w:r>
            <w:r>
              <w:rPr>
                <w:rFonts w:hint="eastAsia" w:ascii="仿宋_GB2312" w:hAnsi="宋体" w:eastAsia="仿宋_GB2312"/>
                <w:color w:val="000000"/>
                <w:sz w:val="18"/>
                <w:szCs w:val="18"/>
              </w:rPr>
              <w:t>县人民政府</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bl>
    <w:p>
      <w:pPr>
        <w:jc w:val="center"/>
        <w:rPr>
          <w:rFonts w:ascii="Times New Roman" w:hAnsi="Times New Roman" w:eastAsia="方正小标宋_GBK"/>
          <w:sz w:val="30"/>
          <w:szCs w:val="30"/>
        </w:rPr>
      </w:pPr>
    </w:p>
    <w:sectPr>
      <w:headerReference r:id="rId4" w:type="first"/>
      <w:footerReference r:id="rId6" w:type="first"/>
      <w:headerReference r:id="rId3" w:type="default"/>
      <w:footerReference r:id="rId5" w:type="default"/>
      <w:pgSz w:w="16838" w:h="11906" w:orient="landscape"/>
      <w:pgMar w:top="1797" w:right="1440" w:bottom="1797" w:left="144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p>
  <w:p>
    <w:pPr>
      <w:pStyle w:val="5"/>
      <w:jc w:val="center"/>
    </w:pPr>
    <w:r>
      <w:rPr>
        <w:rStyle w:val="12"/>
      </w:rPr>
      <w:fldChar w:fldCharType="begin"/>
    </w:r>
    <w:r>
      <w:rPr>
        <w:rStyle w:val="12"/>
      </w:rPr>
      <w:instrText xml:space="preserve"> PAGE </w:instrText>
    </w:r>
    <w:r>
      <w:rPr>
        <w:rStyle w:val="12"/>
      </w:rPr>
      <w:fldChar w:fldCharType="separate"/>
    </w:r>
    <w:r>
      <w:rPr>
        <w:rStyle w:val="12"/>
      </w:rPr>
      <w:t>2</w:t>
    </w:r>
    <w:r>
      <w:rPr>
        <w:rStyle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Style w:val="12"/>
      </w:rPr>
      <w:fldChar w:fldCharType="begin"/>
    </w:r>
    <w:r>
      <w:rPr>
        <w:rStyle w:val="12"/>
      </w:rPr>
      <w:instrText xml:space="preserve"> PAGE </w:instrText>
    </w:r>
    <w:r>
      <w:rPr>
        <w:rStyle w:val="12"/>
      </w:rPr>
      <w:fldChar w:fldCharType="separate"/>
    </w:r>
    <w:r>
      <w:rPr>
        <w:rStyle w:val="12"/>
      </w:rPr>
      <w:t>1</w:t>
    </w:r>
    <w:r>
      <w:rPr>
        <w:rStyle w:val="1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A5"/>
    <w:rsid w:val="00005FB9"/>
    <w:rsid w:val="00006ADC"/>
    <w:rsid w:val="0001250B"/>
    <w:rsid w:val="000201F0"/>
    <w:rsid w:val="00020EFB"/>
    <w:rsid w:val="000370A9"/>
    <w:rsid w:val="00040ED3"/>
    <w:rsid w:val="000533DA"/>
    <w:rsid w:val="0006032D"/>
    <w:rsid w:val="00060CFE"/>
    <w:rsid w:val="000645DC"/>
    <w:rsid w:val="00065A21"/>
    <w:rsid w:val="00070BF9"/>
    <w:rsid w:val="00070FC6"/>
    <w:rsid w:val="00077FC8"/>
    <w:rsid w:val="0008032D"/>
    <w:rsid w:val="00082AC9"/>
    <w:rsid w:val="00086FDC"/>
    <w:rsid w:val="0008715E"/>
    <w:rsid w:val="00093A2C"/>
    <w:rsid w:val="000964CC"/>
    <w:rsid w:val="00097674"/>
    <w:rsid w:val="000A2775"/>
    <w:rsid w:val="000A5C97"/>
    <w:rsid w:val="000A7F01"/>
    <w:rsid w:val="000C25B4"/>
    <w:rsid w:val="000C6BF3"/>
    <w:rsid w:val="000D0945"/>
    <w:rsid w:val="000D1F17"/>
    <w:rsid w:val="000E3D7D"/>
    <w:rsid w:val="000E5A3C"/>
    <w:rsid w:val="000E6E67"/>
    <w:rsid w:val="000E7C68"/>
    <w:rsid w:val="000F751F"/>
    <w:rsid w:val="00100C59"/>
    <w:rsid w:val="001024D7"/>
    <w:rsid w:val="00103454"/>
    <w:rsid w:val="001078E3"/>
    <w:rsid w:val="0011273B"/>
    <w:rsid w:val="00116932"/>
    <w:rsid w:val="00117834"/>
    <w:rsid w:val="001273B6"/>
    <w:rsid w:val="00131909"/>
    <w:rsid w:val="00140ABD"/>
    <w:rsid w:val="0014190C"/>
    <w:rsid w:val="00142E1C"/>
    <w:rsid w:val="0014417E"/>
    <w:rsid w:val="00150886"/>
    <w:rsid w:val="00154D1A"/>
    <w:rsid w:val="001668D4"/>
    <w:rsid w:val="00167E59"/>
    <w:rsid w:val="00167F53"/>
    <w:rsid w:val="00170B78"/>
    <w:rsid w:val="00170C6B"/>
    <w:rsid w:val="00172E7B"/>
    <w:rsid w:val="00172FDE"/>
    <w:rsid w:val="00173340"/>
    <w:rsid w:val="00174543"/>
    <w:rsid w:val="00176850"/>
    <w:rsid w:val="00184E14"/>
    <w:rsid w:val="0018519A"/>
    <w:rsid w:val="001901C0"/>
    <w:rsid w:val="001905F8"/>
    <w:rsid w:val="001A0EE1"/>
    <w:rsid w:val="001A3FFF"/>
    <w:rsid w:val="001A7CDB"/>
    <w:rsid w:val="001B4494"/>
    <w:rsid w:val="001B4DA1"/>
    <w:rsid w:val="001C09D3"/>
    <w:rsid w:val="001D7831"/>
    <w:rsid w:val="001E254A"/>
    <w:rsid w:val="001E357F"/>
    <w:rsid w:val="001E40EA"/>
    <w:rsid w:val="001E42A6"/>
    <w:rsid w:val="001E7825"/>
    <w:rsid w:val="002055CD"/>
    <w:rsid w:val="00225626"/>
    <w:rsid w:val="00241BD7"/>
    <w:rsid w:val="00251380"/>
    <w:rsid w:val="00254893"/>
    <w:rsid w:val="00265B1E"/>
    <w:rsid w:val="002705D2"/>
    <w:rsid w:val="0027262A"/>
    <w:rsid w:val="00275AB0"/>
    <w:rsid w:val="0027712D"/>
    <w:rsid w:val="00277BC9"/>
    <w:rsid w:val="002818AF"/>
    <w:rsid w:val="00282FF2"/>
    <w:rsid w:val="002835D5"/>
    <w:rsid w:val="002864E7"/>
    <w:rsid w:val="00290AAA"/>
    <w:rsid w:val="002954B3"/>
    <w:rsid w:val="00296CB4"/>
    <w:rsid w:val="002A5174"/>
    <w:rsid w:val="002B6627"/>
    <w:rsid w:val="002B79B9"/>
    <w:rsid w:val="002D218F"/>
    <w:rsid w:val="002E1CF7"/>
    <w:rsid w:val="002E23D2"/>
    <w:rsid w:val="002E33B1"/>
    <w:rsid w:val="002E5486"/>
    <w:rsid w:val="002F13AE"/>
    <w:rsid w:val="002F1EAD"/>
    <w:rsid w:val="002F3EAA"/>
    <w:rsid w:val="002F547E"/>
    <w:rsid w:val="00316253"/>
    <w:rsid w:val="00320AFE"/>
    <w:rsid w:val="00321BC5"/>
    <w:rsid w:val="003228E5"/>
    <w:rsid w:val="0032427E"/>
    <w:rsid w:val="003374D8"/>
    <w:rsid w:val="00337F02"/>
    <w:rsid w:val="003436E8"/>
    <w:rsid w:val="00346A3E"/>
    <w:rsid w:val="003506F5"/>
    <w:rsid w:val="00350D04"/>
    <w:rsid w:val="00356811"/>
    <w:rsid w:val="00357025"/>
    <w:rsid w:val="003579E1"/>
    <w:rsid w:val="00360682"/>
    <w:rsid w:val="003707AD"/>
    <w:rsid w:val="00371535"/>
    <w:rsid w:val="00391DA6"/>
    <w:rsid w:val="00395C82"/>
    <w:rsid w:val="00396BFA"/>
    <w:rsid w:val="003A055F"/>
    <w:rsid w:val="003A4319"/>
    <w:rsid w:val="003A5130"/>
    <w:rsid w:val="003C13DB"/>
    <w:rsid w:val="003C778E"/>
    <w:rsid w:val="003C7F00"/>
    <w:rsid w:val="003D76DD"/>
    <w:rsid w:val="003E03A3"/>
    <w:rsid w:val="003E351F"/>
    <w:rsid w:val="003F2569"/>
    <w:rsid w:val="003F66AA"/>
    <w:rsid w:val="003F7D5F"/>
    <w:rsid w:val="00403760"/>
    <w:rsid w:val="0040597B"/>
    <w:rsid w:val="00405AA0"/>
    <w:rsid w:val="0041066C"/>
    <w:rsid w:val="00413BC2"/>
    <w:rsid w:val="00420339"/>
    <w:rsid w:val="0042050B"/>
    <w:rsid w:val="00421025"/>
    <w:rsid w:val="004262D2"/>
    <w:rsid w:val="00434C58"/>
    <w:rsid w:val="00443643"/>
    <w:rsid w:val="00447D1E"/>
    <w:rsid w:val="00454B66"/>
    <w:rsid w:val="0046131F"/>
    <w:rsid w:val="00470A45"/>
    <w:rsid w:val="004735CC"/>
    <w:rsid w:val="00473616"/>
    <w:rsid w:val="004741F3"/>
    <w:rsid w:val="004748F3"/>
    <w:rsid w:val="004800CF"/>
    <w:rsid w:val="00480F60"/>
    <w:rsid w:val="00481A24"/>
    <w:rsid w:val="004934D6"/>
    <w:rsid w:val="00495D55"/>
    <w:rsid w:val="004A18CC"/>
    <w:rsid w:val="004A6AED"/>
    <w:rsid w:val="004B70E4"/>
    <w:rsid w:val="004B7B49"/>
    <w:rsid w:val="004C2064"/>
    <w:rsid w:val="004C520F"/>
    <w:rsid w:val="004D0346"/>
    <w:rsid w:val="004E0CF9"/>
    <w:rsid w:val="004E3C7D"/>
    <w:rsid w:val="004F0F2A"/>
    <w:rsid w:val="004F1782"/>
    <w:rsid w:val="004F2C26"/>
    <w:rsid w:val="004F31FF"/>
    <w:rsid w:val="004F4BBC"/>
    <w:rsid w:val="0050438F"/>
    <w:rsid w:val="00504CD4"/>
    <w:rsid w:val="00510D24"/>
    <w:rsid w:val="005128E6"/>
    <w:rsid w:val="005134ED"/>
    <w:rsid w:val="00520F11"/>
    <w:rsid w:val="005222BB"/>
    <w:rsid w:val="0052697A"/>
    <w:rsid w:val="005309CA"/>
    <w:rsid w:val="00535DBF"/>
    <w:rsid w:val="00537936"/>
    <w:rsid w:val="005601E2"/>
    <w:rsid w:val="00564649"/>
    <w:rsid w:val="00566960"/>
    <w:rsid w:val="00567A97"/>
    <w:rsid w:val="00570AD8"/>
    <w:rsid w:val="0057243A"/>
    <w:rsid w:val="00573AF7"/>
    <w:rsid w:val="00574873"/>
    <w:rsid w:val="00577B8D"/>
    <w:rsid w:val="005873B9"/>
    <w:rsid w:val="00587789"/>
    <w:rsid w:val="00590D0E"/>
    <w:rsid w:val="00595E5C"/>
    <w:rsid w:val="005A0ADC"/>
    <w:rsid w:val="005A3D28"/>
    <w:rsid w:val="005A5DD7"/>
    <w:rsid w:val="005B117C"/>
    <w:rsid w:val="005C1EA4"/>
    <w:rsid w:val="005D1EA5"/>
    <w:rsid w:val="005E1276"/>
    <w:rsid w:val="005E76CD"/>
    <w:rsid w:val="005F38B9"/>
    <w:rsid w:val="00610FD3"/>
    <w:rsid w:val="0061198E"/>
    <w:rsid w:val="00615839"/>
    <w:rsid w:val="00622A42"/>
    <w:rsid w:val="006359C4"/>
    <w:rsid w:val="0063753D"/>
    <w:rsid w:val="0064282F"/>
    <w:rsid w:val="006447DD"/>
    <w:rsid w:val="0064510A"/>
    <w:rsid w:val="00646A00"/>
    <w:rsid w:val="00655727"/>
    <w:rsid w:val="0066461C"/>
    <w:rsid w:val="0067009C"/>
    <w:rsid w:val="00673CAF"/>
    <w:rsid w:val="00680467"/>
    <w:rsid w:val="00682E1D"/>
    <w:rsid w:val="00693B6C"/>
    <w:rsid w:val="006953F4"/>
    <w:rsid w:val="006A05F7"/>
    <w:rsid w:val="006A0C1A"/>
    <w:rsid w:val="006B1596"/>
    <w:rsid w:val="006B5D0D"/>
    <w:rsid w:val="006C3373"/>
    <w:rsid w:val="006C37CE"/>
    <w:rsid w:val="006C72FC"/>
    <w:rsid w:val="006D28DC"/>
    <w:rsid w:val="006E49C7"/>
    <w:rsid w:val="006E504B"/>
    <w:rsid w:val="006E5B70"/>
    <w:rsid w:val="007000D3"/>
    <w:rsid w:val="0070268C"/>
    <w:rsid w:val="00704079"/>
    <w:rsid w:val="0070432E"/>
    <w:rsid w:val="007066B2"/>
    <w:rsid w:val="00717AE7"/>
    <w:rsid w:val="00720C59"/>
    <w:rsid w:val="00722DF5"/>
    <w:rsid w:val="00726208"/>
    <w:rsid w:val="00727666"/>
    <w:rsid w:val="00731A17"/>
    <w:rsid w:val="00737236"/>
    <w:rsid w:val="007526E0"/>
    <w:rsid w:val="00754433"/>
    <w:rsid w:val="007563CC"/>
    <w:rsid w:val="00764DBF"/>
    <w:rsid w:val="007662F5"/>
    <w:rsid w:val="007769B7"/>
    <w:rsid w:val="007803B1"/>
    <w:rsid w:val="00781C45"/>
    <w:rsid w:val="00782CAF"/>
    <w:rsid w:val="0078392A"/>
    <w:rsid w:val="00791687"/>
    <w:rsid w:val="00793C8A"/>
    <w:rsid w:val="007A13EA"/>
    <w:rsid w:val="007A5CF5"/>
    <w:rsid w:val="007B00FD"/>
    <w:rsid w:val="007B032A"/>
    <w:rsid w:val="007B6D40"/>
    <w:rsid w:val="007C2942"/>
    <w:rsid w:val="007C43ED"/>
    <w:rsid w:val="007C7258"/>
    <w:rsid w:val="007D1ABA"/>
    <w:rsid w:val="007D4D96"/>
    <w:rsid w:val="007E5652"/>
    <w:rsid w:val="007E6AEC"/>
    <w:rsid w:val="007F1730"/>
    <w:rsid w:val="007F2517"/>
    <w:rsid w:val="007F2593"/>
    <w:rsid w:val="007F7E67"/>
    <w:rsid w:val="00800726"/>
    <w:rsid w:val="008070F0"/>
    <w:rsid w:val="00812A82"/>
    <w:rsid w:val="00814F97"/>
    <w:rsid w:val="00815596"/>
    <w:rsid w:val="0082234A"/>
    <w:rsid w:val="008229FB"/>
    <w:rsid w:val="00824E6A"/>
    <w:rsid w:val="00831763"/>
    <w:rsid w:val="008319C2"/>
    <w:rsid w:val="00834C8B"/>
    <w:rsid w:val="008356F8"/>
    <w:rsid w:val="00835816"/>
    <w:rsid w:val="0084087D"/>
    <w:rsid w:val="00843056"/>
    <w:rsid w:val="0084306F"/>
    <w:rsid w:val="00844017"/>
    <w:rsid w:val="008445EA"/>
    <w:rsid w:val="008454E8"/>
    <w:rsid w:val="00847E39"/>
    <w:rsid w:val="00850C4C"/>
    <w:rsid w:val="00854A64"/>
    <w:rsid w:val="00856C98"/>
    <w:rsid w:val="00861EF2"/>
    <w:rsid w:val="00866024"/>
    <w:rsid w:val="008708C3"/>
    <w:rsid w:val="00872EA4"/>
    <w:rsid w:val="008832FF"/>
    <w:rsid w:val="00883971"/>
    <w:rsid w:val="00885490"/>
    <w:rsid w:val="008878BF"/>
    <w:rsid w:val="00887948"/>
    <w:rsid w:val="008915F9"/>
    <w:rsid w:val="00897C4F"/>
    <w:rsid w:val="008B7A10"/>
    <w:rsid w:val="008C4153"/>
    <w:rsid w:val="008D4338"/>
    <w:rsid w:val="008D74D9"/>
    <w:rsid w:val="008E5DCD"/>
    <w:rsid w:val="008F4728"/>
    <w:rsid w:val="00902803"/>
    <w:rsid w:val="00911314"/>
    <w:rsid w:val="00924599"/>
    <w:rsid w:val="009267D9"/>
    <w:rsid w:val="00927160"/>
    <w:rsid w:val="0093115B"/>
    <w:rsid w:val="00934DD1"/>
    <w:rsid w:val="00935C49"/>
    <w:rsid w:val="00936C9E"/>
    <w:rsid w:val="0094023C"/>
    <w:rsid w:val="0094041B"/>
    <w:rsid w:val="00940512"/>
    <w:rsid w:val="009455C5"/>
    <w:rsid w:val="009461E2"/>
    <w:rsid w:val="0094729C"/>
    <w:rsid w:val="00947BBC"/>
    <w:rsid w:val="0095342A"/>
    <w:rsid w:val="009550FC"/>
    <w:rsid w:val="00955AA2"/>
    <w:rsid w:val="00955AE6"/>
    <w:rsid w:val="00955E8D"/>
    <w:rsid w:val="00957A9D"/>
    <w:rsid w:val="00957CB5"/>
    <w:rsid w:val="0097686B"/>
    <w:rsid w:val="00976D9A"/>
    <w:rsid w:val="00983C2C"/>
    <w:rsid w:val="00992CAC"/>
    <w:rsid w:val="00995A3C"/>
    <w:rsid w:val="0099602F"/>
    <w:rsid w:val="009A2712"/>
    <w:rsid w:val="009A4841"/>
    <w:rsid w:val="009A5FC0"/>
    <w:rsid w:val="009C29CC"/>
    <w:rsid w:val="009C62C7"/>
    <w:rsid w:val="009D57CF"/>
    <w:rsid w:val="009D6496"/>
    <w:rsid w:val="009E6EC1"/>
    <w:rsid w:val="009F0D49"/>
    <w:rsid w:val="009F5946"/>
    <w:rsid w:val="00A00B7A"/>
    <w:rsid w:val="00A0700D"/>
    <w:rsid w:val="00A071A4"/>
    <w:rsid w:val="00A247E2"/>
    <w:rsid w:val="00A27F7E"/>
    <w:rsid w:val="00A305E1"/>
    <w:rsid w:val="00A31388"/>
    <w:rsid w:val="00A35FCC"/>
    <w:rsid w:val="00A36FE3"/>
    <w:rsid w:val="00A41350"/>
    <w:rsid w:val="00A435BA"/>
    <w:rsid w:val="00A45B4F"/>
    <w:rsid w:val="00A46C46"/>
    <w:rsid w:val="00A50B42"/>
    <w:rsid w:val="00A536BE"/>
    <w:rsid w:val="00A53A03"/>
    <w:rsid w:val="00A577B0"/>
    <w:rsid w:val="00A60D49"/>
    <w:rsid w:val="00A83F13"/>
    <w:rsid w:val="00A8554D"/>
    <w:rsid w:val="00A94D8C"/>
    <w:rsid w:val="00A95B71"/>
    <w:rsid w:val="00AA05A1"/>
    <w:rsid w:val="00AA25DD"/>
    <w:rsid w:val="00AB006A"/>
    <w:rsid w:val="00AB13B4"/>
    <w:rsid w:val="00AB437A"/>
    <w:rsid w:val="00AB6B82"/>
    <w:rsid w:val="00AC0F61"/>
    <w:rsid w:val="00AC4189"/>
    <w:rsid w:val="00AD087C"/>
    <w:rsid w:val="00AD7A41"/>
    <w:rsid w:val="00AE0076"/>
    <w:rsid w:val="00AF544A"/>
    <w:rsid w:val="00AF7A06"/>
    <w:rsid w:val="00B11854"/>
    <w:rsid w:val="00B15870"/>
    <w:rsid w:val="00B17885"/>
    <w:rsid w:val="00B379A5"/>
    <w:rsid w:val="00B43A1D"/>
    <w:rsid w:val="00B4622E"/>
    <w:rsid w:val="00B629DE"/>
    <w:rsid w:val="00B62CD5"/>
    <w:rsid w:val="00B63C96"/>
    <w:rsid w:val="00B7223F"/>
    <w:rsid w:val="00B738F2"/>
    <w:rsid w:val="00B77453"/>
    <w:rsid w:val="00B82002"/>
    <w:rsid w:val="00B91926"/>
    <w:rsid w:val="00B956DC"/>
    <w:rsid w:val="00B95E92"/>
    <w:rsid w:val="00B96432"/>
    <w:rsid w:val="00BA004D"/>
    <w:rsid w:val="00BA6205"/>
    <w:rsid w:val="00BB2517"/>
    <w:rsid w:val="00BB3AF4"/>
    <w:rsid w:val="00BB3FA3"/>
    <w:rsid w:val="00BB636A"/>
    <w:rsid w:val="00BD6049"/>
    <w:rsid w:val="00BD7CAF"/>
    <w:rsid w:val="00BE27DC"/>
    <w:rsid w:val="00BE5734"/>
    <w:rsid w:val="00BE5967"/>
    <w:rsid w:val="00BE668B"/>
    <w:rsid w:val="00C0161F"/>
    <w:rsid w:val="00C1798A"/>
    <w:rsid w:val="00C20262"/>
    <w:rsid w:val="00C37D06"/>
    <w:rsid w:val="00C47B4D"/>
    <w:rsid w:val="00C511D6"/>
    <w:rsid w:val="00C606E9"/>
    <w:rsid w:val="00C6384F"/>
    <w:rsid w:val="00C64ED8"/>
    <w:rsid w:val="00C66344"/>
    <w:rsid w:val="00C764A6"/>
    <w:rsid w:val="00C7671A"/>
    <w:rsid w:val="00C76B83"/>
    <w:rsid w:val="00C80F7E"/>
    <w:rsid w:val="00C82291"/>
    <w:rsid w:val="00C8354F"/>
    <w:rsid w:val="00C866A4"/>
    <w:rsid w:val="00C91BD4"/>
    <w:rsid w:val="00CA595A"/>
    <w:rsid w:val="00CA7724"/>
    <w:rsid w:val="00CB64E4"/>
    <w:rsid w:val="00CB6505"/>
    <w:rsid w:val="00CC30CA"/>
    <w:rsid w:val="00CC7D09"/>
    <w:rsid w:val="00CD3DB4"/>
    <w:rsid w:val="00CD74B5"/>
    <w:rsid w:val="00CE3CD7"/>
    <w:rsid w:val="00CE584C"/>
    <w:rsid w:val="00CE58FA"/>
    <w:rsid w:val="00CE6AF2"/>
    <w:rsid w:val="00CF0F9F"/>
    <w:rsid w:val="00CF3ADD"/>
    <w:rsid w:val="00D225C8"/>
    <w:rsid w:val="00D2351D"/>
    <w:rsid w:val="00D25C0B"/>
    <w:rsid w:val="00D30D1A"/>
    <w:rsid w:val="00D33F6D"/>
    <w:rsid w:val="00D409C1"/>
    <w:rsid w:val="00D63AD3"/>
    <w:rsid w:val="00D70227"/>
    <w:rsid w:val="00D70F1D"/>
    <w:rsid w:val="00D72800"/>
    <w:rsid w:val="00D84489"/>
    <w:rsid w:val="00D877E7"/>
    <w:rsid w:val="00D90BA2"/>
    <w:rsid w:val="00DA1CB8"/>
    <w:rsid w:val="00DA23EC"/>
    <w:rsid w:val="00DA64AA"/>
    <w:rsid w:val="00DA7434"/>
    <w:rsid w:val="00DB7680"/>
    <w:rsid w:val="00DC487C"/>
    <w:rsid w:val="00DD19D2"/>
    <w:rsid w:val="00DD4E2A"/>
    <w:rsid w:val="00DD6E11"/>
    <w:rsid w:val="00DE6B9E"/>
    <w:rsid w:val="00DF3708"/>
    <w:rsid w:val="00DF4661"/>
    <w:rsid w:val="00E12F8A"/>
    <w:rsid w:val="00E17025"/>
    <w:rsid w:val="00E17F1F"/>
    <w:rsid w:val="00E30681"/>
    <w:rsid w:val="00E31715"/>
    <w:rsid w:val="00E31CF6"/>
    <w:rsid w:val="00E3230D"/>
    <w:rsid w:val="00E37CF0"/>
    <w:rsid w:val="00E43A72"/>
    <w:rsid w:val="00E46E53"/>
    <w:rsid w:val="00E51123"/>
    <w:rsid w:val="00E540BA"/>
    <w:rsid w:val="00E56D4A"/>
    <w:rsid w:val="00E61662"/>
    <w:rsid w:val="00E76487"/>
    <w:rsid w:val="00E83276"/>
    <w:rsid w:val="00E84DF1"/>
    <w:rsid w:val="00E85AD2"/>
    <w:rsid w:val="00E86CD0"/>
    <w:rsid w:val="00E9149A"/>
    <w:rsid w:val="00E91746"/>
    <w:rsid w:val="00E91EB1"/>
    <w:rsid w:val="00EA078A"/>
    <w:rsid w:val="00EA179F"/>
    <w:rsid w:val="00EA3D01"/>
    <w:rsid w:val="00EA7E98"/>
    <w:rsid w:val="00EB123E"/>
    <w:rsid w:val="00EB3A62"/>
    <w:rsid w:val="00EB7039"/>
    <w:rsid w:val="00EC42DF"/>
    <w:rsid w:val="00ED20BE"/>
    <w:rsid w:val="00EE5EE8"/>
    <w:rsid w:val="00EE6966"/>
    <w:rsid w:val="00EF14C6"/>
    <w:rsid w:val="00EF20AF"/>
    <w:rsid w:val="00EF20F1"/>
    <w:rsid w:val="00F10AA0"/>
    <w:rsid w:val="00F11B09"/>
    <w:rsid w:val="00F22328"/>
    <w:rsid w:val="00F3769F"/>
    <w:rsid w:val="00F419F8"/>
    <w:rsid w:val="00F4550F"/>
    <w:rsid w:val="00F523DB"/>
    <w:rsid w:val="00F5499A"/>
    <w:rsid w:val="00F60BDC"/>
    <w:rsid w:val="00F6654D"/>
    <w:rsid w:val="00F7175D"/>
    <w:rsid w:val="00F819F8"/>
    <w:rsid w:val="00F9016D"/>
    <w:rsid w:val="00F97583"/>
    <w:rsid w:val="00F97C27"/>
    <w:rsid w:val="00FB38B5"/>
    <w:rsid w:val="00FB7FA5"/>
    <w:rsid w:val="00FC3342"/>
    <w:rsid w:val="00FC5D44"/>
    <w:rsid w:val="00FC6558"/>
    <w:rsid w:val="00FC7E69"/>
    <w:rsid w:val="00FD07F0"/>
    <w:rsid w:val="00FD10F1"/>
    <w:rsid w:val="00FD202C"/>
    <w:rsid w:val="00FD7321"/>
    <w:rsid w:val="00FE0FE4"/>
    <w:rsid w:val="00FE7FFE"/>
    <w:rsid w:val="00FF77BB"/>
    <w:rsid w:val="3AA569D1"/>
    <w:rsid w:val="47C448C3"/>
    <w:rsid w:val="4AA3231D"/>
    <w:rsid w:val="64F86E22"/>
    <w:rsid w:val="76F51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semiHidden/>
    <w:qFormat/>
    <w:uiPriority w:val="0"/>
    <w:rPr>
      <w:b/>
      <w:bCs/>
    </w:rPr>
  </w:style>
  <w:style w:type="table" w:styleId="10">
    <w:name w:val="Table Grid"/>
    <w:basedOn w:val="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uiPriority w:val="0"/>
    <w:rPr>
      <w:color w:val="0000FF"/>
      <w:u w:val="single"/>
    </w:rPr>
  </w:style>
  <w:style w:type="character" w:styleId="14">
    <w:name w:val="annotation reference"/>
    <w:basedOn w:val="11"/>
    <w:semiHidden/>
    <w:qFormat/>
    <w:uiPriority w:val="0"/>
    <w:rPr>
      <w:sz w:val="21"/>
      <w:szCs w:val="21"/>
    </w:rPr>
  </w:style>
  <w:style w:type="paragraph" w:styleId="15">
    <w:name w:val="List Paragraph"/>
    <w:basedOn w:val="1"/>
    <w:qFormat/>
    <w:uiPriority w:val="0"/>
    <w:pPr>
      <w:ind w:firstLine="420" w:firstLineChars="200"/>
    </w:pPr>
    <w:rPr>
      <w:rFonts w:ascii="等线" w:hAnsi="等线" w:eastAsia="等线"/>
    </w:rPr>
  </w:style>
  <w:style w:type="paragraph" w:customStyle="1" w:styleId="16">
    <w:name w:val="列出段落1"/>
    <w:basedOn w:val="1"/>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11</Pages>
  <Words>765</Words>
  <Characters>4363</Characters>
  <Lines>36</Lines>
  <Paragraphs>10</Paragraphs>
  <TotalTime>103</TotalTime>
  <ScaleCrop>false</ScaleCrop>
  <LinksUpToDate>false</LinksUpToDate>
  <CharactersWithSpaces>5118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2020-09-07T01:13:00Z</dcterms:created>
  <dc:creator>USER</dc:creator>
  <cp:lastModifiedBy>阵雨</cp:lastModifiedBy>
  <cp:lastPrinted>2020-11-27T09:02:00Z</cp:lastPrinted>
  <dcterms:modified xsi:type="dcterms:W3CDTF">2020-11-30T03:42:25Z</dcterms:modified>
  <dc:title>扶贫领域基层政务公开标准目录</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