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b w:val="0"/>
          <w:bCs w:val="0"/>
          <w:sz w:val="30"/>
          <w:lang w:val="en-US" w:eastAsia="zh-CN"/>
        </w:rPr>
      </w:pPr>
      <w:bookmarkStart w:id="0" w:name="_Toc24724705"/>
      <w:r>
        <w:rPr>
          <w:rFonts w:hint="eastAsia" w:ascii="方正小标宋_GBK" w:hAnsi="方正小标宋_GBK" w:eastAsia="方正小标宋_GBK"/>
          <w:b w:val="0"/>
          <w:bCs w:val="0"/>
          <w:sz w:val="30"/>
          <w:lang w:eastAsia="zh-CN"/>
        </w:rPr>
        <w:t>三江侗族自治县</w:t>
      </w:r>
      <w:bookmarkStart w:id="1" w:name="_GoBack"/>
      <w:bookmarkEnd w:id="1"/>
      <w:r>
        <w:rPr>
          <w:rFonts w:hint="eastAsia" w:ascii="方正小标宋_GBK" w:hAnsi="方正小标宋_GBK" w:eastAsia="方正小标宋_GBK"/>
          <w:b w:val="0"/>
          <w:bCs w:val="0"/>
          <w:sz w:val="30"/>
        </w:rPr>
        <w:t>公共资源交易领域基层政务公开标准目录</w:t>
      </w:r>
      <w:bookmarkEnd w:id="0"/>
    </w:p>
    <w:tbl>
      <w:tblPr>
        <w:tblStyle w:val="11"/>
        <w:tblW w:w="14983"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14"/>
        <w:gridCol w:w="702"/>
        <w:gridCol w:w="3044"/>
        <w:gridCol w:w="2117"/>
        <w:gridCol w:w="1290"/>
        <w:gridCol w:w="1041"/>
        <w:gridCol w:w="1524"/>
        <w:gridCol w:w="600"/>
        <w:gridCol w:w="840"/>
        <w:gridCol w:w="615"/>
        <w:gridCol w:w="690"/>
        <w:gridCol w:w="510"/>
        <w:gridCol w:w="70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9"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序号</w:t>
            </w:r>
          </w:p>
        </w:tc>
        <w:tc>
          <w:tcPr>
            <w:tcW w:w="1516" w:type="dxa"/>
            <w:gridSpan w:val="2"/>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公开事项</w:t>
            </w:r>
          </w:p>
        </w:tc>
        <w:tc>
          <w:tcPr>
            <w:tcW w:w="3044"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公开内容（要素）</w:t>
            </w:r>
          </w:p>
        </w:tc>
        <w:tc>
          <w:tcPr>
            <w:tcW w:w="2117"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公开依据</w:t>
            </w:r>
          </w:p>
        </w:tc>
        <w:tc>
          <w:tcPr>
            <w:tcW w:w="1290"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w:t>
            </w:r>
          </w:p>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时限</w:t>
            </w:r>
          </w:p>
        </w:tc>
        <w:tc>
          <w:tcPr>
            <w:tcW w:w="1041"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w:t>
            </w:r>
          </w:p>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主体</w:t>
            </w:r>
          </w:p>
        </w:tc>
        <w:tc>
          <w:tcPr>
            <w:tcW w:w="1524" w:type="dxa"/>
            <w:vMerge w:val="restart"/>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公开渠道和载体</w:t>
            </w:r>
          </w:p>
        </w:tc>
        <w:tc>
          <w:tcPr>
            <w:tcW w:w="1440" w:type="dxa"/>
            <w:gridSpan w:val="2"/>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公开对象</w:t>
            </w:r>
          </w:p>
        </w:tc>
        <w:tc>
          <w:tcPr>
            <w:tcW w:w="1305" w:type="dxa"/>
            <w:gridSpan w:val="2"/>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公开方式</w:t>
            </w:r>
          </w:p>
        </w:tc>
        <w:tc>
          <w:tcPr>
            <w:tcW w:w="1217" w:type="dxa"/>
            <w:gridSpan w:val="3"/>
            <w:vAlign w:val="center"/>
          </w:tcPr>
          <w:p>
            <w:pPr>
              <w:widowControl/>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Merge w:val="continue"/>
            <w:vAlign w:val="center"/>
          </w:tcPr>
          <w:p>
            <w:pPr>
              <w:widowControl/>
              <w:jc w:val="left"/>
              <w:rPr>
                <w:rFonts w:hint="eastAsia" w:ascii="仿宋" w:hAnsi="仿宋" w:eastAsia="仿宋" w:cs="仿宋"/>
                <w:color w:val="auto"/>
                <w:kern w:val="0"/>
                <w:sz w:val="18"/>
                <w:szCs w:val="18"/>
              </w:rPr>
            </w:pPr>
          </w:p>
        </w:tc>
        <w:tc>
          <w:tcPr>
            <w:tcW w:w="814"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一级事项</w:t>
            </w:r>
          </w:p>
        </w:tc>
        <w:tc>
          <w:tcPr>
            <w:tcW w:w="702"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二级事项</w:t>
            </w:r>
          </w:p>
        </w:tc>
        <w:tc>
          <w:tcPr>
            <w:tcW w:w="3044" w:type="dxa"/>
            <w:vMerge w:val="continue"/>
            <w:vAlign w:val="center"/>
          </w:tcPr>
          <w:p>
            <w:pPr>
              <w:widowControl/>
              <w:jc w:val="left"/>
              <w:rPr>
                <w:rFonts w:hint="eastAsia" w:ascii="仿宋" w:hAnsi="仿宋" w:eastAsia="仿宋" w:cs="仿宋"/>
                <w:color w:val="auto"/>
                <w:kern w:val="0"/>
                <w:sz w:val="18"/>
                <w:szCs w:val="18"/>
              </w:rPr>
            </w:pPr>
          </w:p>
        </w:tc>
        <w:tc>
          <w:tcPr>
            <w:tcW w:w="2117" w:type="dxa"/>
            <w:vMerge w:val="continue"/>
            <w:vAlign w:val="center"/>
          </w:tcPr>
          <w:p>
            <w:pPr>
              <w:widowControl/>
              <w:jc w:val="left"/>
              <w:rPr>
                <w:rFonts w:hint="eastAsia" w:ascii="仿宋" w:hAnsi="仿宋" w:eastAsia="仿宋" w:cs="仿宋"/>
                <w:color w:val="auto"/>
                <w:kern w:val="0"/>
                <w:sz w:val="18"/>
                <w:szCs w:val="18"/>
              </w:rPr>
            </w:pPr>
          </w:p>
        </w:tc>
        <w:tc>
          <w:tcPr>
            <w:tcW w:w="1290" w:type="dxa"/>
            <w:vMerge w:val="continue"/>
            <w:vAlign w:val="center"/>
          </w:tcPr>
          <w:p>
            <w:pPr>
              <w:widowControl/>
              <w:jc w:val="left"/>
              <w:rPr>
                <w:rFonts w:hint="eastAsia" w:ascii="仿宋" w:hAnsi="仿宋" w:eastAsia="仿宋" w:cs="仿宋"/>
                <w:color w:val="auto"/>
                <w:kern w:val="0"/>
                <w:sz w:val="18"/>
                <w:szCs w:val="18"/>
              </w:rPr>
            </w:pPr>
          </w:p>
        </w:tc>
        <w:tc>
          <w:tcPr>
            <w:tcW w:w="1041" w:type="dxa"/>
            <w:vMerge w:val="continue"/>
            <w:vAlign w:val="center"/>
          </w:tcPr>
          <w:p>
            <w:pPr>
              <w:widowControl/>
              <w:jc w:val="left"/>
              <w:rPr>
                <w:rFonts w:hint="eastAsia" w:ascii="仿宋" w:hAnsi="仿宋" w:eastAsia="仿宋" w:cs="仿宋"/>
                <w:color w:val="auto"/>
                <w:kern w:val="0"/>
                <w:sz w:val="18"/>
                <w:szCs w:val="18"/>
              </w:rPr>
            </w:pPr>
          </w:p>
        </w:tc>
        <w:tc>
          <w:tcPr>
            <w:tcW w:w="1524" w:type="dxa"/>
            <w:vMerge w:val="continue"/>
            <w:vAlign w:val="center"/>
          </w:tcPr>
          <w:p>
            <w:pPr>
              <w:widowControl/>
              <w:jc w:val="left"/>
              <w:rPr>
                <w:rFonts w:hint="eastAsia" w:ascii="仿宋" w:hAnsi="仿宋" w:eastAsia="仿宋" w:cs="仿宋"/>
                <w:color w:val="auto"/>
                <w:kern w:val="0"/>
                <w:sz w:val="18"/>
                <w:szCs w:val="18"/>
              </w:rPr>
            </w:pPr>
          </w:p>
        </w:tc>
        <w:tc>
          <w:tcPr>
            <w:tcW w:w="600"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全社会</w:t>
            </w:r>
          </w:p>
        </w:tc>
        <w:tc>
          <w:tcPr>
            <w:tcW w:w="840"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特定</w:t>
            </w:r>
          </w:p>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群众</w:t>
            </w:r>
          </w:p>
        </w:tc>
        <w:tc>
          <w:tcPr>
            <w:tcW w:w="615"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主动</w:t>
            </w:r>
          </w:p>
        </w:tc>
        <w:tc>
          <w:tcPr>
            <w:tcW w:w="690" w:type="dxa"/>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依申请公开</w:t>
            </w:r>
          </w:p>
        </w:tc>
        <w:tc>
          <w:tcPr>
            <w:tcW w:w="510" w:type="dxa"/>
            <w:vAlign w:val="center"/>
          </w:tcPr>
          <w:p>
            <w:pPr>
              <w:widowControl/>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县级</w:t>
            </w:r>
          </w:p>
        </w:tc>
        <w:tc>
          <w:tcPr>
            <w:tcW w:w="706" w:type="dxa"/>
            <w:vAlign w:val="center"/>
          </w:tcPr>
          <w:p>
            <w:pPr>
              <w:widowControl/>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审批核准信息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招标内容、招标范围、招标组织形式、招标方式、招标估算金额、招标事项审核或核准部门。</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《招标投标法实施条例》、《政府信息公开条例》、《国务院办公厅关于推进公共资源配置领域政府信息公开的意见》</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信息形成之日起20个工作日内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负责管理的部门分别公开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■政府网站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■管理部门网站</w:t>
            </w:r>
          </w:p>
          <w:p>
            <w:pPr>
              <w:rPr>
                <w:rFonts w:hint="eastAsia" w:ascii="仿宋" w:hAnsi="仿宋" w:eastAsia="仿宋" w:cs="仿宋"/>
                <w:color w:val="auto"/>
                <w:sz w:val="18"/>
                <w:szCs w:val="18"/>
              </w:rPr>
            </w:pP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资格预审公告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《招标投标法》、《招标投标法实施条例》、《国务院办公厅关于推进公共资源配置领域政府信息公开的意见》、《招标公告和公示信息发布管理办法》</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　</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117" w:type="dxa"/>
            <w:vMerge w:val="restart"/>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《招标投标法》、《招标投标法实施条例》、《国务院办公厅关于推进公共资源配置领域政府信息公开的意见》、《招标公告和公示信息发布管理办法》、《电子招标投标办法》</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4</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中标候选人公示</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招标文件规定公示的其他内容。</w:t>
            </w:r>
          </w:p>
        </w:tc>
        <w:tc>
          <w:tcPr>
            <w:tcW w:w="2117" w:type="dxa"/>
            <w:vMerge w:val="continue"/>
            <w:vAlign w:val="center"/>
          </w:tcPr>
          <w:p>
            <w:pPr>
              <w:rPr>
                <w:rFonts w:hint="eastAsia" w:ascii="仿宋" w:hAnsi="仿宋" w:eastAsia="仿宋" w:cs="仿宋"/>
                <w:color w:val="auto"/>
                <w:sz w:val="18"/>
                <w:szCs w:val="18"/>
              </w:rPr>
            </w:pP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依法必须进行招标的项目，招标人应当自收到评标报告之日起3日内公示中标候选人，公示期不得少于3日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中标结果</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招标项目名称、中标人名称、中标价、工期、项目负责人、中标内容。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xml:space="preserve">《国务院办公厅关于推进公共资源配置领域政府信息公开的意见》、《招标公告和公示信息发布管理办法》、《电子招标投标办法》 </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25"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6</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合同订立信息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包括项目名称、合同双方名称、合同价款、签约时间、合同期限。</w:t>
            </w:r>
          </w:p>
        </w:tc>
        <w:tc>
          <w:tcPr>
            <w:tcW w:w="2117" w:type="dxa"/>
            <w:vMerge w:val="restart"/>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《国务院办公厅关于推进公共资源配置领域政府信息公开的意见》、《电子招标投标办法》</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合同当事人</w:t>
            </w:r>
          </w:p>
        </w:tc>
        <w:tc>
          <w:tcPr>
            <w:tcW w:w="1524" w:type="dxa"/>
            <w:vMerge w:val="restart"/>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30"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7</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合同履行及变更信息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项目名称、标段名称、建设单位、承包人、项目完成质量、期限、结算金额、合同发生的变更、解除合同通知书、违约行为的处理结果。</w:t>
            </w:r>
          </w:p>
        </w:tc>
        <w:tc>
          <w:tcPr>
            <w:tcW w:w="2117" w:type="dxa"/>
            <w:vMerge w:val="continue"/>
            <w:vAlign w:val="center"/>
          </w:tcPr>
          <w:p>
            <w:pPr>
              <w:rPr>
                <w:rFonts w:hint="eastAsia" w:ascii="仿宋" w:hAnsi="仿宋" w:eastAsia="仿宋" w:cs="仿宋"/>
                <w:color w:val="auto"/>
                <w:sz w:val="18"/>
                <w:szCs w:val="18"/>
              </w:rPr>
            </w:pP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鼓励及时公开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合同当事人</w:t>
            </w:r>
          </w:p>
        </w:tc>
        <w:tc>
          <w:tcPr>
            <w:tcW w:w="1524" w:type="dxa"/>
            <w:vMerge w:val="continue"/>
            <w:vAlign w:val="center"/>
          </w:tcPr>
          <w:p>
            <w:pPr>
              <w:rPr>
                <w:rFonts w:hint="eastAsia" w:ascii="仿宋" w:hAnsi="仿宋" w:eastAsia="仿宋" w:cs="仿宋"/>
                <w:color w:val="auto"/>
                <w:sz w:val="18"/>
                <w:szCs w:val="18"/>
              </w:rPr>
            </w:pP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8</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资格预审文件、招标文件澄清或修改</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项目名称；标段名称；澄清或修改事项；招标人及其招标代理机构的名称、地址、联系人及联系方式。</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《招标投标法》、《招标投标法实施条例》、《电子招标投标办法》</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240"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9</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工程建设项目招标投标信息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招标公告和公示信息澄清、修改</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项目名称；标段名称；澄清或修改事项；招标人及其招标代理机构的名称、地址、联系人及联系方式。</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《招标公告和公示信息发布管理办法》</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Merge w:val="restart"/>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■广西壮族自治区招标投标公共服务平台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■全国公共资源交易平台（广西壮族自治区）</w:t>
            </w:r>
          </w:p>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■柳州市公共资源交易平台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■电子招标投标交易平台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906"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10</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暂停、终止招标</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招标人名称、招标项目名称、招标项目编号、本项目首次公告日期、招标暂停或终止原因、联系方式、其他事项。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《招标公告和公示信息发布管理办法》）</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招标人或者其委托的招标代理机构</w:t>
            </w:r>
          </w:p>
        </w:tc>
        <w:tc>
          <w:tcPr>
            <w:tcW w:w="1524" w:type="dxa"/>
            <w:vMerge w:val="continue"/>
            <w:vAlign w:val="center"/>
          </w:tcPr>
          <w:p>
            <w:pPr>
              <w:rPr>
                <w:rFonts w:hint="eastAsia" w:ascii="仿宋" w:hAnsi="仿宋" w:eastAsia="仿宋" w:cs="仿宋"/>
                <w:color w:val="auto"/>
                <w:sz w:val="18"/>
                <w:szCs w:val="18"/>
              </w:rPr>
            </w:pP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11</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市场主体信用信息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《行政处罚法》、《政府信息公开条例》、《国务院办公厅关于推进公共资源配置领域政府信息公开的意见》</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信息形成之日起20个工作日内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负责管理的部门分别公开</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■信用中国</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12</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1.采购人及其委托的采购代理机构的名称、地址和联系方法，公告期限；</w:t>
            </w:r>
          </w:p>
          <w:p>
            <w:pPr>
              <w:rPr>
                <w:rFonts w:hint="eastAsia" w:ascii="仿宋" w:hAnsi="仿宋" w:eastAsia="仿宋" w:cs="仿宋"/>
                <w:color w:val="auto"/>
                <w:sz w:val="18"/>
                <w:szCs w:val="18"/>
              </w:rPr>
            </w:pPr>
            <w:r>
              <w:rPr>
                <w:rFonts w:hint="eastAsia" w:ascii="仿宋" w:hAnsi="仿宋" w:eastAsia="仿宋" w:cs="仿宋"/>
                <w:color w:val="auto"/>
                <w:sz w:val="18"/>
                <w:szCs w:val="18"/>
              </w:rPr>
              <w:t>2.采购人的采购需求；</w:t>
            </w:r>
          </w:p>
          <w:p>
            <w:pPr>
              <w:rPr>
                <w:rFonts w:hint="eastAsia" w:ascii="仿宋" w:hAnsi="仿宋" w:eastAsia="仿宋" w:cs="仿宋"/>
                <w:color w:val="auto"/>
                <w:sz w:val="18"/>
                <w:szCs w:val="18"/>
              </w:rPr>
            </w:pPr>
            <w:r>
              <w:rPr>
                <w:rFonts w:hint="eastAsia" w:ascii="仿宋" w:hAnsi="仿宋" w:eastAsia="仿宋" w:cs="仿宋"/>
                <w:color w:val="auto"/>
                <w:sz w:val="18"/>
                <w:szCs w:val="18"/>
              </w:rPr>
              <w:t>3.采购项目的名称、数量、简要规格描述或项目基本概况介绍；</w:t>
            </w:r>
          </w:p>
          <w:p>
            <w:pPr>
              <w:rPr>
                <w:rFonts w:hint="eastAsia" w:ascii="仿宋" w:hAnsi="仿宋" w:eastAsia="仿宋" w:cs="仿宋"/>
                <w:color w:val="auto"/>
                <w:sz w:val="18"/>
                <w:szCs w:val="18"/>
              </w:rPr>
            </w:pPr>
            <w:r>
              <w:rPr>
                <w:rFonts w:hint="eastAsia" w:ascii="仿宋" w:hAnsi="仿宋" w:eastAsia="仿宋" w:cs="仿宋"/>
                <w:color w:val="auto"/>
                <w:sz w:val="18"/>
                <w:szCs w:val="18"/>
              </w:rPr>
              <w:t>4.采购项目预算金额，设定最高限价的，还应当公开最高限价；</w:t>
            </w:r>
          </w:p>
          <w:p>
            <w:pPr>
              <w:rPr>
                <w:rFonts w:hint="eastAsia" w:ascii="仿宋" w:hAnsi="仿宋" w:eastAsia="仿宋" w:cs="仿宋"/>
                <w:color w:val="auto"/>
                <w:sz w:val="18"/>
                <w:szCs w:val="18"/>
              </w:rPr>
            </w:pPr>
            <w:r>
              <w:rPr>
                <w:rFonts w:hint="eastAsia" w:ascii="仿宋" w:hAnsi="仿宋" w:eastAsia="仿宋" w:cs="仿宋"/>
                <w:color w:val="auto"/>
                <w:sz w:val="18"/>
                <w:szCs w:val="18"/>
              </w:rPr>
              <w:t>5.采购项目需要落实的政府采购政策；</w:t>
            </w:r>
          </w:p>
          <w:p>
            <w:pP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6.投标人的资格要求，获取招标文件的时间、地点、方式及招标文件售价，投标截止时间、开标时间及地点，采购项目联系人姓名和电话等。</w:t>
            </w:r>
          </w:p>
        </w:tc>
        <w:tc>
          <w:tcPr>
            <w:tcW w:w="2117"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《国务院办公厅关于推进公共资源配置领域政府信息公开的意见》、《政府采购货物和服务招标投标管理办法》、《财政部关于做好政府采购信息公开工作的通知》</w:t>
            </w:r>
            <w:r>
              <w:rPr>
                <w:rFonts w:hint="eastAsia" w:ascii="仿宋" w:hAnsi="仿宋" w:eastAsia="仿宋" w:cs="仿宋"/>
                <w:color w:val="auto"/>
                <w:sz w:val="18"/>
                <w:szCs w:val="18"/>
                <w:lang w:eastAsia="zh-CN"/>
              </w:rPr>
              <w:t>、《政府采购信息发布管理办法》（财政部令第101号）</w:t>
            </w:r>
          </w:p>
        </w:tc>
        <w:tc>
          <w:tcPr>
            <w:tcW w:w="1290" w:type="dxa"/>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及时公开，公告期限为5个工作日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13</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资格预审公告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1.采购人及其委托的采购代理机构的名称、地址和联系方法；</w:t>
            </w:r>
          </w:p>
          <w:p>
            <w:pPr>
              <w:rPr>
                <w:rFonts w:hint="eastAsia" w:ascii="仿宋" w:hAnsi="仿宋" w:eastAsia="仿宋" w:cs="仿宋"/>
                <w:color w:val="auto"/>
                <w:sz w:val="18"/>
                <w:szCs w:val="18"/>
              </w:rPr>
            </w:pPr>
            <w:r>
              <w:rPr>
                <w:rFonts w:hint="eastAsia" w:ascii="仿宋" w:hAnsi="仿宋" w:eastAsia="仿宋" w:cs="仿宋"/>
                <w:color w:val="auto"/>
                <w:sz w:val="18"/>
                <w:szCs w:val="18"/>
              </w:rPr>
              <w:t>2.采购项目名称、预算金额，设定最高限价的，还应当公开最高限价；</w:t>
            </w:r>
          </w:p>
          <w:p>
            <w:pPr>
              <w:rPr>
                <w:rFonts w:hint="eastAsia" w:ascii="仿宋" w:hAnsi="仿宋" w:eastAsia="仿宋" w:cs="仿宋"/>
                <w:color w:val="auto"/>
                <w:sz w:val="18"/>
                <w:szCs w:val="18"/>
              </w:rPr>
            </w:pPr>
            <w:r>
              <w:rPr>
                <w:rFonts w:hint="eastAsia" w:ascii="仿宋" w:hAnsi="仿宋" w:eastAsia="仿宋" w:cs="仿宋"/>
                <w:color w:val="auto"/>
                <w:sz w:val="18"/>
                <w:szCs w:val="18"/>
              </w:rPr>
              <w:t>3.采购人的采购需求；</w:t>
            </w:r>
          </w:p>
          <w:p>
            <w:pPr>
              <w:rPr>
                <w:rFonts w:hint="eastAsia" w:ascii="仿宋" w:hAnsi="仿宋" w:eastAsia="仿宋" w:cs="仿宋"/>
                <w:color w:val="auto"/>
                <w:sz w:val="18"/>
                <w:szCs w:val="18"/>
              </w:rPr>
            </w:pPr>
            <w:r>
              <w:rPr>
                <w:rFonts w:hint="eastAsia" w:ascii="仿宋" w:hAnsi="仿宋" w:eastAsia="仿宋" w:cs="仿宋"/>
                <w:color w:val="auto"/>
                <w:sz w:val="18"/>
                <w:szCs w:val="18"/>
              </w:rPr>
              <w:t>4.采购项目数量、简要规格描述或项目基本概况介绍，采购项目需要落实的政府采购政策；</w:t>
            </w:r>
          </w:p>
          <w:p>
            <w:pPr>
              <w:rPr>
                <w:rFonts w:hint="eastAsia" w:ascii="仿宋" w:hAnsi="仿宋" w:eastAsia="仿宋" w:cs="仿宋"/>
                <w:color w:val="auto"/>
                <w:sz w:val="18"/>
                <w:szCs w:val="18"/>
              </w:rPr>
            </w:pPr>
            <w:r>
              <w:rPr>
                <w:rFonts w:hint="eastAsia" w:ascii="仿宋" w:hAnsi="仿宋" w:eastAsia="仿宋" w:cs="仿宋"/>
                <w:color w:val="auto"/>
                <w:sz w:val="18"/>
                <w:szCs w:val="18"/>
              </w:rPr>
              <w:t>5.投标人的资格要求以及审查标准、方法；</w:t>
            </w:r>
          </w:p>
          <w:p>
            <w:pPr>
              <w:rPr>
                <w:rFonts w:hint="eastAsia" w:ascii="仿宋" w:hAnsi="仿宋" w:eastAsia="仿宋" w:cs="仿宋"/>
                <w:color w:val="auto"/>
                <w:sz w:val="18"/>
                <w:szCs w:val="18"/>
              </w:rPr>
            </w:pPr>
            <w:r>
              <w:rPr>
                <w:rFonts w:hint="eastAsia" w:ascii="仿宋" w:hAnsi="仿宋" w:eastAsia="仿宋" w:cs="仿宋"/>
                <w:color w:val="auto"/>
                <w:sz w:val="18"/>
                <w:szCs w:val="18"/>
              </w:rPr>
              <w:t>6.公告期限；</w:t>
            </w:r>
          </w:p>
          <w:p>
            <w:pPr>
              <w:rPr>
                <w:rFonts w:hint="eastAsia" w:ascii="仿宋" w:hAnsi="仿宋" w:eastAsia="仿宋" w:cs="仿宋"/>
                <w:color w:val="auto"/>
                <w:sz w:val="18"/>
                <w:szCs w:val="18"/>
              </w:rPr>
            </w:pPr>
            <w:r>
              <w:rPr>
                <w:rFonts w:hint="eastAsia" w:ascii="仿宋" w:hAnsi="仿宋" w:eastAsia="仿宋" w:cs="仿宋"/>
                <w:color w:val="auto"/>
                <w:sz w:val="18"/>
                <w:szCs w:val="18"/>
              </w:rPr>
              <w:t>7.获取资格预审文件的时间期限、地点、方式；</w:t>
            </w:r>
          </w:p>
          <w:p>
            <w:pPr>
              <w:rPr>
                <w:rFonts w:hint="eastAsia" w:ascii="仿宋" w:hAnsi="仿宋" w:eastAsia="仿宋" w:cs="仿宋"/>
                <w:color w:val="auto"/>
                <w:sz w:val="18"/>
                <w:szCs w:val="18"/>
              </w:rPr>
            </w:pPr>
            <w:r>
              <w:rPr>
                <w:rFonts w:hint="eastAsia" w:ascii="仿宋" w:hAnsi="仿宋" w:eastAsia="仿宋" w:cs="仿宋"/>
                <w:color w:val="auto"/>
                <w:sz w:val="18"/>
                <w:szCs w:val="18"/>
              </w:rPr>
              <w:t>8.投标人应当提供的资格预审申请文件的组成和格式，提交资格预审申请文件的截止时间、地点及资格预审日期；</w:t>
            </w:r>
          </w:p>
          <w:p>
            <w:pPr>
              <w:rPr>
                <w:rFonts w:hint="eastAsia" w:ascii="仿宋" w:hAnsi="仿宋" w:eastAsia="仿宋" w:cs="仿宋"/>
                <w:color w:val="auto"/>
                <w:sz w:val="18"/>
                <w:szCs w:val="18"/>
              </w:rPr>
            </w:pPr>
            <w:r>
              <w:rPr>
                <w:rFonts w:hint="eastAsia" w:ascii="仿宋" w:hAnsi="仿宋" w:eastAsia="仿宋" w:cs="仿宋"/>
                <w:color w:val="auto"/>
                <w:sz w:val="18"/>
                <w:szCs w:val="18"/>
              </w:rPr>
              <w:t>9.采购项目联系人姓名和电话。</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《国务院办公厅关于推进公共资源配置领域政府信息公开的意见》、《政府采购货物和服务招标投标管理办法》、《财政部关于做好政府采购信息公开工作的通知》</w:t>
            </w:r>
          </w:p>
        </w:tc>
        <w:tc>
          <w:tcPr>
            <w:tcW w:w="1290" w:type="dxa"/>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及时公开，公告期限为5个工作日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932"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14</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　</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竞争性谈判公告、竞争性磋商公告和询价公告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p>
        </w:tc>
        <w:tc>
          <w:tcPr>
            <w:tcW w:w="1290" w:type="dxa"/>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及时公开，公告期限为3个工作日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15</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采购项目预算金额</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随采购公告、采购文件公开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16</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　</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采购文件</w:t>
            </w:r>
          </w:p>
        </w:tc>
        <w:tc>
          <w:tcPr>
            <w:tcW w:w="3044"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1.公开招标文件、邀请招标文件：</w:t>
            </w:r>
          </w:p>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投标邀请；投标人须知；投标人应当提交的资格、资信证明文件；为落实政府采购政策，采购标的需满足的要求，以及投标人须提供的证明材料；投标文件编制要求、投标报价要求和投标保证金交纳、退还方式以及不予退还投标保证金的情形；采购项目预算金额，设定最高限价的，还应当公开最高限价；采购项目的技术规格、数量、服务标准、验收等要求；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w:t>
            </w:r>
          </w:p>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2.竞争性谈判文件、询价通知书：</w:t>
            </w:r>
          </w:p>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 xml:space="preserve">供应商资格条件、采购邀请、采购方式、采购预算、采购需求、采购程序、价格构成或者报价要求、响应文件编制要求、提交响应文件截止时间及地点、保证金交纳数额和形式、评定成交的标准等。谈判文件还应当明确谈判小组根据与供应商谈判情况可能实质性变动的内容等。    </w:t>
            </w:r>
          </w:p>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3.竞争性磋商文件：</w:t>
            </w:r>
          </w:p>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随中标、成交结果同时公告。中标、成交结果公告前采购文件已公告的，不再重复公告</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322"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17</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采购信息更正公告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采购人和采购代理机构名称、地址、联系方式；原公告的采购项目名称及首次公告日期；更正事项、内容及日期；采购项目联系人和电话。</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投标截止时间至少15日前、提交资格预审申请文件截止时间至少3日前，或者提交首次响应文件截止之日3个工作日前</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795" w:hRule="atLeast"/>
        </w:trPr>
        <w:tc>
          <w:tcPr>
            <w:tcW w:w="48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18</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　</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单一来源公示</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117"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r>
              <w:rPr>
                <w:rFonts w:hint="eastAsia" w:ascii="仿宋" w:hAnsi="仿宋" w:eastAsia="仿宋" w:cs="仿宋"/>
                <w:color w:val="auto"/>
                <w:sz w:val="18"/>
                <w:szCs w:val="18"/>
                <w:lang w:eastAsia="zh-CN"/>
              </w:rPr>
              <w:t>、《政府采购信息发布管理办法》（财政部令第101号）</w:t>
            </w:r>
          </w:p>
        </w:tc>
        <w:tc>
          <w:tcPr>
            <w:tcW w:w="1290" w:type="dxa"/>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及时公开，公示期限不得少于5个工作日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19</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　</w:t>
            </w:r>
          </w:p>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中标、成交结果</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117"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r>
              <w:rPr>
                <w:rFonts w:hint="eastAsia" w:ascii="仿宋" w:hAnsi="仿宋" w:eastAsia="仿宋" w:cs="仿宋"/>
                <w:color w:val="auto"/>
                <w:sz w:val="18"/>
                <w:szCs w:val="18"/>
                <w:lang w:eastAsia="zh-CN"/>
              </w:rPr>
              <w:t>、《政府采购信息发布管理办法》（财政部令第101号）</w:t>
            </w:r>
          </w:p>
        </w:tc>
        <w:tc>
          <w:tcPr>
            <w:tcW w:w="1290" w:type="dxa"/>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自中标、成交供应商确定之日起2个工作日内公告，公告期限为1个工作日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0</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采购合同</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采购人和采购代理机构名称、地址、联系方式；采购项目名称、编号，合同编号；供应商名称；合同内容。</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117"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r>
              <w:rPr>
                <w:rFonts w:hint="eastAsia" w:ascii="仿宋" w:hAnsi="仿宋" w:eastAsia="仿宋" w:cs="仿宋"/>
                <w:color w:val="auto"/>
                <w:sz w:val="18"/>
                <w:szCs w:val="18"/>
                <w:lang w:eastAsia="zh-CN"/>
              </w:rPr>
              <w:t>、《政府采购信息发布管理办法》（财政部令第101号）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合同签订之日起2个工作日内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■省级（含计划单列市）财政部门指定的媒体</w:t>
            </w:r>
          </w:p>
        </w:tc>
        <w:tc>
          <w:tcPr>
            <w:tcW w:w="600" w:type="dxa"/>
            <w:vAlign w:val="center"/>
          </w:tcPr>
          <w:p>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1</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　</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终止公告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采购人和采购代理机构名称、地址、联系方式；采购项目名称、采购编号，采购方式；采购项目终止原因；公告期限；采购项目联系人和电话。</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采购人或者其委托的采购代理机构</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2</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公共服务项目采购需求</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采购对象需实现的功能或者目标，满足项目需要的所有技术、服务、安全等要求，采购对象的数量、交付或实施的时间和地点，采购对象的验收标准等。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《财政部关于做好政府采购信息公开工作的通知》、《关于进一步加强政府采购需求和履约验收管理的指导意见》</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3</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公共服务项目验收结果</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采购人和采购代理机构名称、地址、联系方式；采购项目名称、编号，合同编号；履约供应商名称；验收单位；验收结果；验收人员。</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《财政部关于做好政府采购信息公开工作的通知》</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验收结束之日起2个工作日内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采购人</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735" w:hRule="atLeas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4</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政府采购信息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投诉、监督检查等处理决定公告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相关当事人名称及地址、投诉涉及采购项目名称及采购日期、投诉事项或监督检查主要事项、处理依据、处理结果、执法机关名称、公告日期等。</w:t>
            </w:r>
          </w:p>
        </w:tc>
        <w:tc>
          <w:tcPr>
            <w:tcW w:w="2117"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《国务院办公厅关于推进公共资源配置领域政府信息公开的意见》、《财政部关于做好政府采购信息公开工作的通知》</w:t>
            </w:r>
            <w:r>
              <w:rPr>
                <w:rFonts w:hint="eastAsia" w:ascii="仿宋" w:hAnsi="仿宋" w:eastAsia="仿宋" w:cs="仿宋"/>
                <w:color w:val="auto"/>
                <w:sz w:val="18"/>
                <w:szCs w:val="18"/>
                <w:lang w:eastAsia="zh-CN"/>
              </w:rPr>
              <w:t>、《政府采购信息发布管理办法》（财政部令第101号）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完成并履行有关报审程序后5个工作日内</w:t>
            </w:r>
          </w:p>
        </w:tc>
        <w:tc>
          <w:tcPr>
            <w:tcW w:w="1041"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三江县财政局</w:t>
            </w:r>
          </w:p>
        </w:tc>
        <w:tc>
          <w:tcPr>
            <w:tcW w:w="1524" w:type="dxa"/>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■中国政府采购网及其地方分网</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■省级（含计划单列市）财政部门指定的媒体</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5</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国有土地使用权出让信息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土地出让计划</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1.明确国有建设用地供应指导思想和原则；</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2.提出国有建设用地供应政策导向；</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3.确定国有建设用地供应总量、结构、布局、时序和方式；</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4.落实计划供应的宗地；</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5.实施计划的保障措施；</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6.年度土地供应总量、不同用途土地供应面积、地段以及供地时间。</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招标拍卖挂牌出让国有建设用地使用权规定》（国土资源部令第39号）、《公共资源交易领域基层政务公开标准指引》（发改办法规〔2019〕752号）、《协议出让国有土地使用权规定》（国土资源部令第21号）、《国有建设用地供应计划编制规范》(试行)（国土资发〔2010〕117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每年3月31日前，公布年度国有建设用地供应计划</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w:t>
            </w:r>
            <w:r>
              <w:rPr>
                <w:rFonts w:hint="eastAsia" w:ascii="仿宋" w:hAnsi="仿宋" w:eastAsia="仿宋" w:cs="仿宋"/>
                <w:color w:val="auto"/>
                <w:sz w:val="18"/>
                <w:szCs w:val="18"/>
              </w:rPr>
              <w:t>网站</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6</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招标拍卖挂牌出让公告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1.出让人的名称和地址；</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2.出让宗地的面积、界址、空间范围、现状、使用年期、用途、规划指标要求；</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3.投标人、竞买人的资格要求以及申请取得投标、竞买资格的办法；</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4.索取招标拍卖挂牌出让文件的时间、地点和方式；</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5.招标拍卖挂牌时间、地点、投标挂牌期限、投标和竞价方式等；</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6.确定中标人、竞得人的标准和方法；</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7.投标、竞买保证金；</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8.其他需要公告的事项。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公共资源交易领域基层政务公开标准指引》（发改办法规〔2019〕752号）、《招标拍卖挂牌出让国有建设用地使用权规定》（国土资源部令第39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至少在投标、拍卖或者挂牌开始日前20日。挂牌时间不得少于10日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w:t>
            </w:r>
            <w:r>
              <w:rPr>
                <w:rFonts w:hint="eastAsia" w:ascii="仿宋" w:hAnsi="仿宋" w:eastAsia="仿宋" w:cs="仿宋"/>
                <w:color w:val="auto"/>
                <w:sz w:val="18"/>
                <w:szCs w:val="18"/>
              </w:rPr>
              <w:t>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■中国土地市场网</w:t>
            </w:r>
          </w:p>
          <w:p>
            <w:pPr>
              <w:rPr>
                <w:rFonts w:hint="eastAsia" w:ascii="仿宋" w:hAnsi="仿宋" w:eastAsia="仿宋" w:cs="仿宋"/>
                <w:color w:val="auto"/>
                <w:sz w:val="18"/>
                <w:szCs w:val="18"/>
              </w:rPr>
            </w:pPr>
            <w:r>
              <w:rPr>
                <w:rFonts w:hint="eastAsia" w:ascii="仿宋" w:hAnsi="仿宋" w:eastAsia="仿宋" w:cs="仿宋"/>
                <w:color w:val="auto"/>
                <w:sz w:val="18"/>
                <w:szCs w:val="18"/>
              </w:rPr>
              <w:t>■公共资源交易平台</w:t>
            </w:r>
          </w:p>
          <w:p>
            <w:pPr>
              <w:rPr>
                <w:rFonts w:hint="eastAsia" w:ascii="仿宋" w:hAnsi="仿宋" w:eastAsia="仿宋" w:cs="仿宋"/>
                <w:color w:val="auto"/>
                <w:sz w:val="18"/>
                <w:szCs w:val="18"/>
              </w:rPr>
            </w:pPr>
            <w:r>
              <w:rPr>
                <w:rFonts w:hint="eastAsia" w:ascii="仿宋" w:hAnsi="仿宋" w:eastAsia="仿宋" w:cs="仿宋"/>
                <w:color w:val="auto"/>
                <w:sz w:val="18"/>
                <w:szCs w:val="18"/>
              </w:rPr>
              <w:t>■两微一端</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27</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国有土地使用权出让信息　</w:t>
            </w:r>
          </w:p>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公告调整</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公开国有建设用地使用权出让公告、项目概况、澄清或者修改事项、联系方式。</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《招标拍卖挂牌出让国有土地使用权规范》（国土资发〔2006〕114号）、《公共资源交易领域基层政务公开标准指引》（发改办法规〔2019〕752号）、《协议出让国有土地使用权规定》（国土资源部令第21号）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按原公告发布渠道及时发布补充公告，涉及土地使用条件变更等影响土地价格的重大变动，补充公告发布时间距招拍挂活动开始时间少于20日的，招拍挂活动相应顺延</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w:t>
            </w:r>
            <w:r>
              <w:rPr>
                <w:rFonts w:hint="eastAsia" w:ascii="仿宋" w:hAnsi="仿宋" w:eastAsia="仿宋" w:cs="仿宋"/>
                <w:color w:val="auto"/>
                <w:sz w:val="18"/>
                <w:szCs w:val="18"/>
              </w:rPr>
              <w:t>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■中国土地市场网</w:t>
            </w:r>
          </w:p>
          <w:p>
            <w:pPr>
              <w:rPr>
                <w:rFonts w:hint="eastAsia" w:ascii="仿宋" w:hAnsi="仿宋" w:eastAsia="仿宋" w:cs="仿宋"/>
                <w:color w:val="auto"/>
                <w:sz w:val="18"/>
                <w:szCs w:val="18"/>
              </w:rPr>
            </w:pPr>
            <w:r>
              <w:rPr>
                <w:rFonts w:hint="eastAsia" w:ascii="仿宋" w:hAnsi="仿宋" w:eastAsia="仿宋" w:cs="仿宋"/>
                <w:color w:val="auto"/>
                <w:sz w:val="18"/>
                <w:szCs w:val="18"/>
              </w:rPr>
              <w:t>■公共资源交易平台</w:t>
            </w:r>
          </w:p>
          <w:p>
            <w:pPr>
              <w:rPr>
                <w:rFonts w:hint="eastAsia" w:ascii="仿宋" w:hAnsi="仿宋" w:eastAsia="仿宋" w:cs="仿宋"/>
                <w:color w:val="auto"/>
                <w:sz w:val="18"/>
                <w:szCs w:val="18"/>
              </w:rPr>
            </w:pPr>
            <w:r>
              <w:rPr>
                <w:rFonts w:hint="eastAsia" w:ascii="仿宋" w:hAnsi="仿宋" w:eastAsia="仿宋" w:cs="仿宋"/>
                <w:color w:val="auto"/>
                <w:sz w:val="18"/>
                <w:szCs w:val="18"/>
              </w:rPr>
              <w:t>■两微一端</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331" w:hRule="atLeas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28</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招标拍卖挂牌出让结果（成交公示）</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土地位置、面积、用途、开发程度、土地级别、容积率、出让年限、供地方式、受让人、成交价格和成交时间等。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公共资源交易领域基层政务公开标准指引》（发改办法规〔2019〕752号）、《招标拍卖挂牌出让国有建设用地使用权规定》（国土资源部令第39号）、《招标拍卖挂牌出让国有土地使用权规范》（国土资发〔2006〕114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招标拍卖挂牌活动结束后的10个工作日内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w:t>
            </w:r>
            <w:r>
              <w:rPr>
                <w:rFonts w:hint="eastAsia" w:ascii="仿宋" w:hAnsi="仿宋" w:eastAsia="仿宋" w:cs="仿宋"/>
                <w:color w:val="auto"/>
                <w:sz w:val="18"/>
                <w:szCs w:val="18"/>
              </w:rPr>
              <w:t>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■中国土地市场网</w:t>
            </w:r>
          </w:p>
          <w:p>
            <w:pPr>
              <w:rPr>
                <w:rFonts w:hint="eastAsia" w:ascii="仿宋" w:hAnsi="仿宋" w:eastAsia="仿宋" w:cs="仿宋"/>
                <w:color w:val="auto"/>
                <w:sz w:val="18"/>
                <w:szCs w:val="18"/>
              </w:rPr>
            </w:pPr>
            <w:r>
              <w:rPr>
                <w:rFonts w:hint="eastAsia" w:ascii="仿宋" w:hAnsi="仿宋" w:eastAsia="仿宋" w:cs="仿宋"/>
                <w:color w:val="auto"/>
                <w:sz w:val="18"/>
                <w:szCs w:val="18"/>
              </w:rPr>
              <w:t>■公共资源交易平台</w:t>
            </w:r>
          </w:p>
          <w:p>
            <w:pPr>
              <w:rPr>
                <w:rFonts w:hint="eastAsia" w:ascii="仿宋" w:hAnsi="仿宋" w:eastAsia="仿宋" w:cs="仿宋"/>
                <w:color w:val="auto"/>
                <w:sz w:val="18"/>
                <w:szCs w:val="18"/>
              </w:rPr>
            </w:pPr>
            <w:r>
              <w:rPr>
                <w:rFonts w:hint="eastAsia" w:ascii="仿宋" w:hAnsi="仿宋" w:eastAsia="仿宋" w:cs="仿宋"/>
                <w:color w:val="auto"/>
                <w:sz w:val="18"/>
                <w:szCs w:val="18"/>
              </w:rPr>
              <w:t>■两微一端</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22" w:hRule="atLeas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协议出让结果</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土地位置、面积、用途、开发程度、土地级别、容积率、出让年限、供地方式、受让人、成交价格和成交时间等。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《国务院办公厅关于推进公共资源配置领域政府信息公开的意见》（国办发〔2017〕97号）、《协议出让国有土地使用权规定》（国土资源部令第21号）</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《国有土地使用权出让合同》签订后7日内，公布时间不得少于15日</w:t>
            </w:r>
          </w:p>
        </w:tc>
        <w:tc>
          <w:tcPr>
            <w:tcW w:w="1041"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■中国土地市场网</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■自然资源管理部门网站</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■柳州市公共资源交易平台</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■柳州市土地交易储备中心门户网站</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供应结果</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国有建设用地使用权年度供应结果。</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《国务院办公厅关于推进公共资源配置领域政府信息公开的意见》（国办发〔2017〕97号）、《公共资源交易领域基层政务公开标准指引》（发改办法规〔2019〕752号）</w:t>
            </w:r>
          </w:p>
        </w:tc>
        <w:tc>
          <w:tcPr>
            <w:tcW w:w="129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及时公开</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w:t>
            </w:r>
            <w:r>
              <w:rPr>
                <w:rFonts w:hint="eastAsia" w:ascii="仿宋" w:hAnsi="仿宋" w:eastAsia="仿宋" w:cs="仿宋"/>
                <w:color w:val="auto"/>
                <w:sz w:val="18"/>
                <w:szCs w:val="18"/>
              </w:rPr>
              <w:t>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■中国土地市场网</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1</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矿业权出让信息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招标拍卖挂牌出让公告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公共资源交易领域基层政务公开标准指引》（发改办法规〔2019〕752号）、《国土资源部关于印发矿业权交易规则的通知》（国土资规（2017) 7号）、《自然资源部关于调整&lt;矿业权交易规则&gt;有关规定的通知》（自然资发（2018) 175号）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在投标截止日、公开拍卖日或者挂牌起始日20个工作日前发布。挂牌时间不得少于10个工作日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在下列平台同时发布：■自然资源部门户网站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■矿业权交易平台交易大厅</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062" w:hRule="atLeas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以协议方式出让矿业权的成交结果公示</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1.受让人名称；</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2.项目名称或者矿山名称；</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3.中标或者竞得的勘查区块、面积、开采范围的简要情况；</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4.矿业权成交价格及缴纳时间、方式；</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5.申请办理矿业权登记的时限；</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6.对公示内容提出异议的方式及途径；</w:t>
            </w:r>
            <w:r>
              <w:rPr>
                <w:rFonts w:hint="eastAsia" w:ascii="仿宋" w:hAnsi="仿宋" w:eastAsia="仿宋" w:cs="仿宋"/>
                <w:i w:val="0"/>
                <w:color w:val="auto"/>
                <w:kern w:val="0"/>
                <w:sz w:val="18"/>
                <w:szCs w:val="18"/>
                <w:u w:val="none"/>
                <w:lang w:val="en-US" w:eastAsia="zh-CN" w:bidi="ar-SA"/>
              </w:rPr>
              <w:br w:type="textWrapping"/>
            </w:r>
            <w:r>
              <w:rPr>
                <w:rFonts w:hint="eastAsia" w:ascii="仿宋" w:hAnsi="仿宋" w:eastAsia="仿宋" w:cs="仿宋"/>
                <w:i w:val="0"/>
                <w:color w:val="auto"/>
                <w:kern w:val="0"/>
                <w:sz w:val="18"/>
                <w:szCs w:val="18"/>
                <w:u w:val="none"/>
                <w:lang w:val="en-US" w:eastAsia="zh-CN" w:bidi="ar-SA"/>
              </w:rPr>
              <w:t>7.应当公示的其他内容。</w:t>
            </w:r>
          </w:p>
        </w:tc>
        <w:tc>
          <w:tcPr>
            <w:tcW w:w="2117" w:type="dxa"/>
            <w:vAlign w:val="center"/>
          </w:tcPr>
          <w:p>
            <w:pPr>
              <w:rPr>
                <w:rFonts w:hint="eastAsia" w:ascii="仿宋" w:hAnsi="仿宋" w:eastAsia="仿宋" w:cs="仿宋"/>
                <w:i w:val="0"/>
                <w:color w:val="auto"/>
                <w:kern w:val="0"/>
                <w:sz w:val="18"/>
                <w:szCs w:val="18"/>
                <w:u w:val="none"/>
                <w:lang w:val="en-US" w:eastAsia="zh-CN" w:bidi="ar-SA"/>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《国务院办公厅关于推进公共资源配置领域政府信息公开的意见》（国办发〔2017〕97号）、《国土资源部关于印发矿业权交易规则的通知》（国土资规（2017) 7号）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在确定协议出让矿业权受让人和出让范围后、申请登记前</w:t>
            </w:r>
          </w:p>
        </w:tc>
        <w:tc>
          <w:tcPr>
            <w:tcW w:w="1041"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rPr>
            </w:pPr>
            <w:r>
              <w:rPr>
                <w:rStyle w:val="19"/>
                <w:rFonts w:hint="eastAsia" w:ascii="仿宋" w:hAnsi="仿宋" w:eastAsia="仿宋" w:cs="仿宋"/>
                <w:color w:val="auto"/>
                <w:sz w:val="18"/>
                <w:szCs w:val="18"/>
                <w:lang w:val="en-US" w:eastAsia="zh-CN" w:bidi="ar-SA"/>
              </w:rPr>
              <w:t>■柳州市公共资源交易平台</w:t>
            </w:r>
            <w:r>
              <w:rPr>
                <w:rStyle w:val="19"/>
                <w:rFonts w:hint="eastAsia" w:ascii="仿宋" w:hAnsi="仿宋" w:eastAsia="仿宋" w:cs="仿宋"/>
                <w:color w:val="auto"/>
                <w:sz w:val="18"/>
                <w:szCs w:val="18"/>
                <w:lang w:val="en-US" w:eastAsia="zh-CN" w:bidi="ar-SA"/>
              </w:rPr>
              <w:br w:type="textWrapping"/>
            </w:r>
            <w:r>
              <w:rPr>
                <w:rStyle w:val="20"/>
                <w:rFonts w:hint="eastAsia" w:ascii="仿宋" w:hAnsi="仿宋" w:eastAsia="仿宋" w:cs="仿宋"/>
                <w:color w:val="auto"/>
                <w:sz w:val="18"/>
                <w:szCs w:val="18"/>
                <w:lang w:val="en-US" w:eastAsia="zh-CN" w:bidi="ar-SA"/>
              </w:rPr>
              <w:t>在下列平台同时发布</w:t>
            </w:r>
            <w:r>
              <w:rPr>
                <w:rStyle w:val="19"/>
                <w:rFonts w:hint="eastAsia" w:ascii="仿宋" w:hAnsi="仿宋" w:eastAsia="仿宋" w:cs="仿宋"/>
                <w:color w:val="auto"/>
                <w:sz w:val="18"/>
                <w:szCs w:val="18"/>
                <w:lang w:val="en-US" w:eastAsia="zh-CN" w:bidi="ar-SA"/>
              </w:rPr>
              <w:br w:type="textWrapping"/>
            </w:r>
            <w:r>
              <w:rPr>
                <w:rStyle w:val="19"/>
                <w:rFonts w:hint="eastAsia" w:ascii="仿宋" w:hAnsi="仿宋" w:eastAsia="仿宋" w:cs="仿宋"/>
                <w:color w:val="auto"/>
                <w:sz w:val="18"/>
                <w:szCs w:val="18"/>
                <w:lang w:val="en-US" w:eastAsia="zh-CN" w:bidi="ar-SA"/>
              </w:rPr>
              <w:t>■自然资源部门户网站</w:t>
            </w:r>
            <w:r>
              <w:rPr>
                <w:rStyle w:val="19"/>
                <w:rFonts w:hint="eastAsia" w:ascii="仿宋" w:hAnsi="仿宋" w:eastAsia="仿宋" w:cs="仿宋"/>
                <w:color w:val="auto"/>
                <w:sz w:val="18"/>
                <w:szCs w:val="18"/>
                <w:lang w:val="en-US" w:eastAsia="zh-CN" w:bidi="ar-SA"/>
              </w:rPr>
              <w:br w:type="textWrapping"/>
            </w:r>
            <w:r>
              <w:rPr>
                <w:rStyle w:val="19"/>
                <w:rFonts w:hint="eastAsia" w:ascii="仿宋" w:hAnsi="仿宋" w:eastAsia="仿宋" w:cs="仿宋"/>
                <w:color w:val="auto"/>
                <w:sz w:val="18"/>
                <w:szCs w:val="18"/>
                <w:lang w:val="en-US" w:eastAsia="zh-CN" w:bidi="ar-SA"/>
              </w:rPr>
              <w:t>■本级自然资源管理部门网站</w:t>
            </w:r>
            <w:r>
              <w:rPr>
                <w:rStyle w:val="19"/>
                <w:rFonts w:hint="eastAsia" w:ascii="仿宋" w:hAnsi="仿宋" w:eastAsia="仿宋" w:cs="仿宋"/>
                <w:color w:val="auto"/>
                <w:sz w:val="18"/>
                <w:szCs w:val="18"/>
                <w:lang w:val="en-US" w:eastAsia="zh-CN" w:bidi="ar-SA"/>
              </w:rPr>
              <w:br w:type="textWrapping"/>
            </w:r>
            <w:r>
              <w:rPr>
                <w:rStyle w:val="19"/>
                <w:rFonts w:hint="eastAsia" w:ascii="仿宋" w:hAnsi="仿宋" w:eastAsia="仿宋" w:cs="仿宋"/>
                <w:color w:val="auto"/>
                <w:sz w:val="18"/>
                <w:szCs w:val="18"/>
                <w:lang w:val="en-US" w:eastAsia="zh-CN" w:bidi="ar-SA"/>
              </w:rPr>
              <w:t>■柳州市矿业权交易平台交易大厅</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3</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招标拍卖挂牌成交结果公示</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国务院办公厅关于推进公共资源配置领域政府信息公开的意见》（国办发〔2017〕97号）、《公共资源交易领域基层政务公开标准指引》（发改办法规〔2019〕752号）、《国土资源部关于印发矿业权交易规则的通知》（国土资规（2017) 7号）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发出中标通知书或者签订成交确认书后5个工作日内进行信息公示。公示期不少于10个工作日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■公共资源交易平台</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在下列平台同时发布：■自然资源部门户网站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■矿业权交易平台交易大厅</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4</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矿业权出让信息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审批结果信息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每个项目的审批结果信息（交易完成后由各级自然资源管理部门审批）。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《中华人民共和国政府信息公开条例》、《国务院办公厅关于推进公共资源配置领域政府信息公开的意见》（国办发〔2017〕97号）、《公共资源交易领域基层政务公开标准指引》（发改办法规〔2019〕752号）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信息形成之日起20个工作日内</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政府网站</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5</w:t>
            </w:r>
          </w:p>
        </w:tc>
        <w:tc>
          <w:tcPr>
            <w:tcW w:w="814" w:type="dxa"/>
            <w:vMerge w:val="continue"/>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项目信息</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公告有效期内矿业权基本信息包括矿业权名称、许可证号、矿业权人、矿种、有效期限。</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《中华人民共和国政府信息公开条例》、《国务院办公厅关于推进公共资源配置领域政府信息公开的意见》（国办发〔2017〕97号）、《公共资源交易领域基层政务公开标准指引》（发改办法规〔2019〕752号）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每年一季度集中公告</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三江</w:t>
            </w:r>
            <w:r>
              <w:rPr>
                <w:rFonts w:hint="eastAsia" w:ascii="仿宋" w:hAnsi="仿宋" w:eastAsia="仿宋" w:cs="仿宋"/>
                <w:color w:val="auto"/>
                <w:sz w:val="18"/>
                <w:szCs w:val="18"/>
              </w:rPr>
              <w:t>县自然资源和规划局</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政府网站</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277" w:hRule="atLeas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36</w:t>
            </w:r>
          </w:p>
        </w:tc>
        <w:tc>
          <w:tcPr>
            <w:tcW w:w="814" w:type="dxa"/>
            <w:vAlign w:val="center"/>
          </w:tcPr>
          <w:p>
            <w:pPr>
              <w:jc w:val="cente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矿业权交易规则</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公开交易服务指南、交易程序、交易流程、格式文书等，</w:t>
            </w:r>
          </w:p>
        </w:tc>
        <w:tc>
          <w:tcPr>
            <w:tcW w:w="2117" w:type="dxa"/>
            <w:vAlign w:val="center"/>
          </w:tcPr>
          <w:p>
            <w:pPr>
              <w:rPr>
                <w:rFonts w:hint="eastAsia" w:ascii="仿宋" w:hAnsi="仿宋" w:eastAsia="仿宋" w:cs="仿宋"/>
                <w:i w:val="0"/>
                <w:color w:val="auto"/>
                <w:kern w:val="0"/>
                <w:sz w:val="18"/>
                <w:szCs w:val="18"/>
                <w:u w:val="none"/>
                <w:lang w:val="en-US" w:eastAsia="zh-CN" w:bidi="ar-SA"/>
              </w:rPr>
            </w:pPr>
            <w:r>
              <w:rPr>
                <w:rFonts w:hint="eastAsia" w:ascii="仿宋" w:hAnsi="仿宋" w:eastAsia="仿宋" w:cs="仿宋"/>
                <w:i w:val="0"/>
                <w:color w:val="auto"/>
                <w:kern w:val="0"/>
                <w:sz w:val="18"/>
                <w:szCs w:val="18"/>
                <w:u w:val="none"/>
                <w:lang w:val="en-US" w:eastAsia="zh-CN" w:bidi="ar-SA"/>
              </w:rPr>
              <w:t>《国土资源部关于印发矿业权交易规则的通知》（国土资规（2017) 7号）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及时公开</w:t>
            </w:r>
          </w:p>
        </w:tc>
        <w:tc>
          <w:tcPr>
            <w:tcW w:w="1041" w:type="dxa"/>
            <w:vAlign w:val="center"/>
          </w:tcPr>
          <w:p>
            <w:pPr>
              <w:rPr>
                <w:rFonts w:hint="eastAsia" w:ascii="仿宋" w:hAnsi="仿宋" w:eastAsia="仿宋" w:cs="仿宋"/>
                <w:color w:val="auto"/>
                <w:sz w:val="18"/>
                <w:szCs w:val="18"/>
                <w:lang w:eastAsia="zh-CN"/>
              </w:rPr>
            </w:pPr>
            <w:r>
              <w:rPr>
                <w:rFonts w:hint="eastAsia" w:ascii="仿宋" w:hAnsi="仿宋" w:eastAsia="仿宋" w:cs="仿宋"/>
                <w:i w:val="0"/>
                <w:color w:val="auto"/>
                <w:kern w:val="0"/>
                <w:sz w:val="18"/>
                <w:szCs w:val="18"/>
                <w:u w:val="none"/>
                <w:lang w:val="en-US" w:eastAsia="zh-CN" w:bidi="ar-SA"/>
              </w:rPr>
              <w:t>矿业权交易平台</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■柳州市矿业权交易平台交易大厅</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p>
        </w:tc>
        <w:tc>
          <w:tcPr>
            <w:tcW w:w="510" w:type="dxa"/>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widowControl/>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7</w:t>
            </w:r>
          </w:p>
        </w:tc>
        <w:tc>
          <w:tcPr>
            <w:tcW w:w="81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国有产权交易信息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国有企业产权转让信息预披露</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《企业国有资产交易监督管理办法》（国资委 财政部令第32号）、《国务院办公厅关于推进公共资源配置领域政府信息公开的意见》（国办发〔2017〕97号）、《公共资源交易领域基层政务公开标准指引》（发改办法规〔2019〕752号）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因产权转让导致转让标的企业的实际控制权发生转移的，在转让行为获批后10个工作日内进行信息预披露，时间不得少于20个工作日。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转让方</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8</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国有产权交易信息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国有企业产权转让信息披露</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《企业国有资产交易监督管理办法》（国资委 财政部令第32号）、《国务院办公厅关于推进公共资源配置领域政府信息公开的意见》（国办发〔2017〕97号）、《公共资源交易领域基层政务公开标准指引》（发改办法规〔2019〕752号）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及时公开，正式披露信息时间不得少于20个工作日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转让方</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9</w:t>
            </w:r>
          </w:p>
        </w:tc>
        <w:tc>
          <w:tcPr>
            <w:tcW w:w="814" w:type="dxa"/>
            <w:vMerge w:val="continue"/>
            <w:vAlign w:val="center"/>
          </w:tcPr>
          <w:p>
            <w:pP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国有企业产权转让成交公告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交易标的名称、转让标的评估结果、转让底价、交易价格。</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《企业国有资产交易监督管理办法》（国资委 财政部令第32号）、《国务院办公厅关于推进公共资源配置领域政府信息公开的意见》（国办发〔2017〕97号）、《公共资源交易领域基层政务公开标准指引》（发改办法规〔2019〕752号）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产权交易合同生效后，公告期不少于5个工作日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■产权交易机构网站</w:t>
            </w:r>
          </w:p>
          <w:p>
            <w:pPr>
              <w:rPr>
                <w:rFonts w:hint="eastAsia" w:ascii="仿宋" w:hAnsi="仿宋" w:eastAsia="仿宋" w:cs="仿宋"/>
                <w:color w:val="auto"/>
                <w:sz w:val="18"/>
                <w:szCs w:val="18"/>
              </w:rPr>
            </w:pP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814" w:type="dxa"/>
            <w:vMerge w:val="restart"/>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国有产权交易信息</w:t>
            </w: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国有企业资产转让信息披露</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标的基本情况、交易条件、转让底价、竞价方式、受让方选择的相关评判标准等。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《企业国有资产交易监督管理办法》（国资委 财政部令第32号）、《国务院办公厅关于推进公共资源配置领域政府信息公开的意见》（国办发〔2017〕97号）、《公共资源交易领域基层政务公开标准指引》（发改办法规〔2019〕752号）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转让底价高于100万元、低于1000万元的资产转让项目，信息公告期应不少于10个工作日；转让底价高于1000万元的资产转让项目，信息公告期应不少于20个工作日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转让方</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Pr>
        <w:tc>
          <w:tcPr>
            <w:tcW w:w="489" w:type="dxa"/>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w:t>
            </w:r>
          </w:p>
        </w:tc>
        <w:tc>
          <w:tcPr>
            <w:tcW w:w="814" w:type="dxa"/>
            <w:vMerge w:val="continue"/>
            <w:vAlign w:val="center"/>
          </w:tcPr>
          <w:p>
            <w:pPr>
              <w:rPr>
                <w:rFonts w:hint="eastAsia" w:ascii="仿宋" w:hAnsi="仿宋" w:eastAsia="仿宋" w:cs="仿宋"/>
                <w:color w:val="auto"/>
                <w:sz w:val="18"/>
                <w:szCs w:val="18"/>
              </w:rPr>
            </w:pPr>
          </w:p>
        </w:tc>
        <w:tc>
          <w:tcPr>
            <w:tcW w:w="702"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国有企业资产转让成交公告</w:t>
            </w:r>
          </w:p>
        </w:tc>
        <w:tc>
          <w:tcPr>
            <w:tcW w:w="304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交易标的名称、评估价格、转让底价、交易价格等。</w:t>
            </w:r>
          </w:p>
        </w:tc>
        <w:tc>
          <w:tcPr>
            <w:tcW w:w="2117" w:type="dxa"/>
            <w:vAlign w:val="center"/>
          </w:tcPr>
          <w:p>
            <w:pPr>
              <w:rPr>
                <w:rFonts w:hint="eastAsia" w:ascii="仿宋" w:hAnsi="仿宋" w:eastAsia="仿宋" w:cs="仿宋"/>
                <w:color w:val="auto"/>
                <w:sz w:val="18"/>
                <w:szCs w:val="18"/>
              </w:rPr>
            </w:pPr>
            <w:r>
              <w:rPr>
                <w:rFonts w:hint="eastAsia" w:ascii="仿宋" w:hAnsi="仿宋" w:eastAsia="仿宋" w:cs="仿宋"/>
                <w:i w:val="0"/>
                <w:color w:val="auto"/>
                <w:kern w:val="0"/>
                <w:sz w:val="18"/>
                <w:szCs w:val="18"/>
                <w:u w:val="none"/>
                <w:lang w:val="en-US" w:eastAsia="zh-CN" w:bidi="ar-SA"/>
              </w:rPr>
              <w:t>《企业国有资产交易监督管理办法》（国资委 财政部令第32号）、《国务院办公厅关于推进公共资源配置领域政府信息公开的意见》（国办发〔2017〕97号）、《公共资源交易领域基层政务公开标准指引》（发改办法规〔2019〕752号）</w:t>
            </w:r>
          </w:p>
        </w:tc>
        <w:tc>
          <w:tcPr>
            <w:tcW w:w="12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不少于5个工作日</w:t>
            </w:r>
          </w:p>
        </w:tc>
        <w:tc>
          <w:tcPr>
            <w:tcW w:w="1041"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w:t>
            </w:r>
          </w:p>
        </w:tc>
        <w:tc>
          <w:tcPr>
            <w:tcW w:w="1524"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■产权交易机构网站</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600"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84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61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9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510"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06" w:type="dxa"/>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rPr>
          <w:rFonts w:ascii="仿宋_GB2312" w:eastAsia="仿宋_GB2312"/>
          <w:sz w:val="18"/>
          <w:szCs w:val="18"/>
        </w:rPr>
      </w:pPr>
    </w:p>
    <w:p>
      <w:pPr>
        <w:jc w:val="left"/>
        <w:rPr>
          <w:rFonts w:hint="eastAsia" w:ascii="Times New Roman" w:hAnsi="Times New Roman" w:eastAsia="方正小标宋_GBK"/>
          <w:sz w:val="28"/>
          <w:szCs w:val="28"/>
        </w:rPr>
      </w:pPr>
    </w:p>
    <w:sectPr>
      <w:headerReference r:id="rId4" w:type="first"/>
      <w:footerReference r:id="rId6" w:type="first"/>
      <w:headerReference r:id="rId3" w:type="default"/>
      <w:footerReference r:id="rId5"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hint="eastAsia"/>
      </w:rPr>
    </w:pPr>
  </w:p>
  <w:p>
    <w:pPr>
      <w:pStyle w:val="7"/>
      <w:jc w:val="center"/>
      <w:rPr>
        <w:rFonts w:hint="eastAsia"/>
      </w:rPr>
    </w:pPr>
    <w:r>
      <w:rPr>
        <w:rStyle w:val="13"/>
      </w:rPr>
      <w:fldChar w:fldCharType="begin"/>
    </w:r>
    <w:r>
      <w:rPr>
        <w:rStyle w:val="13"/>
      </w:rPr>
      <w:instrText xml:space="preserve"> PAGE </w:instrText>
    </w:r>
    <w:r>
      <w:rPr>
        <w:rStyle w:val="13"/>
      </w:rPr>
      <w:fldChar w:fldCharType="separate"/>
    </w:r>
    <w:r>
      <w:rPr>
        <w:rStyle w:val="13"/>
      </w:rPr>
      <w:t>158</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6555709"/>
    <w:rsid w:val="07977A33"/>
    <w:rsid w:val="12514B14"/>
    <w:rsid w:val="12C961FC"/>
    <w:rsid w:val="23A6514D"/>
    <w:rsid w:val="26F773AF"/>
    <w:rsid w:val="290D155C"/>
    <w:rsid w:val="2A7020D6"/>
    <w:rsid w:val="2F635FC0"/>
    <w:rsid w:val="30307554"/>
    <w:rsid w:val="36760899"/>
    <w:rsid w:val="3C551219"/>
    <w:rsid w:val="3D330DAC"/>
    <w:rsid w:val="430E56E4"/>
    <w:rsid w:val="49CD1533"/>
    <w:rsid w:val="58534A8C"/>
    <w:rsid w:val="5A2D7805"/>
    <w:rsid w:val="5F8A7CB5"/>
    <w:rsid w:val="67390A22"/>
    <w:rsid w:val="6FC30FA5"/>
    <w:rsid w:val="72AD4931"/>
    <w:rsid w:val="77FA266B"/>
    <w:rsid w:val="7AD92193"/>
    <w:rsid w:val="7BA16B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spacing w:before="100" w:beforeAutospacing="1" w:after="100" w:afterAutospacing="1"/>
      <w:jc w:val="left"/>
      <w:outlineLvl w:val="2"/>
    </w:pPr>
    <w:rPr>
      <w:rFonts w:ascii="宋体" w:hAnsi="宋体"/>
      <w:b/>
      <w:kern w:val="0"/>
      <w:sz w:val="27"/>
      <w:szCs w:val="27"/>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unhideWhenUsed/>
    <w:qFormat/>
    <w:uiPriority w:val="99"/>
    <w:pPr>
      <w:spacing w:after="12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14760"/>
      </w:tabs>
      <w:spacing w:line="700" w:lineRule="exact"/>
      <w:ind w:left="359" w:leftChars="171" w:right="332" w:rightChars="158"/>
    </w:pPr>
  </w:style>
  <w:style w:type="paragraph" w:styleId="10">
    <w:name w:val="annotation subject"/>
    <w:basedOn w:val="4"/>
    <w:next w:val="4"/>
    <w:semiHidden/>
    <w:qFormat/>
    <w:uiPriority w:val="0"/>
    <w:rPr>
      <w:b/>
      <w:bCs/>
    </w:rPr>
  </w:style>
  <w:style w:type="character" w:styleId="13">
    <w:name w:val="page number"/>
    <w:basedOn w:val="12"/>
    <w:qFormat/>
    <w:uiPriority w:val="0"/>
  </w:style>
  <w:style w:type="character" w:styleId="14">
    <w:name w:val="HTML Typewriter"/>
    <w:basedOn w:val="12"/>
    <w:qFormat/>
    <w:uiPriority w:val="99"/>
    <w:rPr>
      <w:rFonts w:ascii="黑体" w:hAnsi="Courier New" w:eastAsia="黑体" w:cs="Courier New"/>
      <w:sz w:val="24"/>
      <w:szCs w:val="24"/>
    </w:rPr>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paragraph" w:customStyle="1" w:styleId="17">
    <w:name w:val="List Paragraph"/>
    <w:basedOn w:val="1"/>
    <w:qFormat/>
    <w:uiPriority w:val="0"/>
    <w:pPr>
      <w:ind w:firstLine="420" w:firstLineChars="200"/>
    </w:pPr>
    <w:rPr>
      <w:rFonts w:ascii="等线" w:hAnsi="等线" w:eastAsia="等线"/>
    </w:rPr>
  </w:style>
  <w:style w:type="paragraph" w:customStyle="1" w:styleId="18">
    <w:name w:val="列出段落1"/>
    <w:basedOn w:val="1"/>
    <w:qFormat/>
    <w:uiPriority w:val="0"/>
    <w:pPr>
      <w:ind w:firstLine="420" w:firstLineChars="200"/>
    </w:pPr>
  </w:style>
  <w:style w:type="character" w:customStyle="1" w:styleId="19">
    <w:name w:val="font31"/>
    <w:basedOn w:val="12"/>
    <w:qFormat/>
    <w:uiPriority w:val="0"/>
    <w:rPr>
      <w:rFonts w:hint="eastAsia" w:ascii="宋体" w:hAnsi="宋体" w:eastAsia="宋体" w:cs="宋体"/>
      <w:color w:val="000000"/>
      <w:sz w:val="20"/>
      <w:szCs w:val="20"/>
      <w:u w:val="none"/>
    </w:rPr>
  </w:style>
  <w:style w:type="character" w:customStyle="1" w:styleId="20">
    <w:name w:val="font21"/>
    <w:basedOn w:val="12"/>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162</Pages>
  <Words>16843</Words>
  <Characters>96006</Characters>
  <Lines>800</Lines>
  <Paragraphs>225</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2019-12-13T01:49:00Z</cp:lastPrinted>
  <dcterms:modified xsi:type="dcterms:W3CDTF">2020-12-02T09:05:49Z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